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left="0" w:leftChars="0" w:firstLine="0" w:firstLineChars="0"/>
        <w:jc w:val="center"/>
        <w:rPr>
          <w:rFonts w:hint="default"/>
          <w:lang w:val="en-US" w:eastAsia="zh-CN"/>
        </w:rPr>
      </w:pPr>
    </w:p>
    <w:p>
      <w:pPr>
        <w:bidi w:val="0"/>
        <w:ind w:left="0" w:leftChars="0" w:firstLine="0" w:firstLineChars="0"/>
        <w:jc w:val="center"/>
        <w:rPr>
          <w:rFonts w:hint="eastAsia"/>
          <w:b/>
          <w:bCs/>
          <w:color w:val="auto"/>
          <w:sz w:val="48"/>
          <w:szCs w:val="48"/>
          <w:highlight w:val="green"/>
          <w:lang w:eastAsia="zh-CN"/>
        </w:rPr>
      </w:pPr>
    </w:p>
    <w:p>
      <w:pPr>
        <w:pStyle w:val="4"/>
        <w:ind w:left="0" w:leftChars="0" w:firstLine="0" w:firstLineChars="0"/>
        <w:jc w:val="center"/>
        <w:rPr>
          <w:rFonts w:hint="eastAsia"/>
          <w:color w:val="auto"/>
          <w:highlight w:val="green"/>
          <w:lang w:eastAsia="zh-CN"/>
        </w:rPr>
      </w:pP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outlineLvl w:val="0"/>
        <w:rPr>
          <w:rFonts w:hint="eastAsia"/>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合肥市工程技术学校学生宿舍楼建设项目</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outlineLvl w:val="0"/>
        <w:rPr>
          <w:rFonts w:hint="eastAsia" w:ascii="黑体" w:hAnsi="黑体" w:eastAsia="黑体" w:cs="黑体"/>
          <w:b/>
          <w:bCs/>
          <w:color w:val="auto"/>
          <w:sz w:val="48"/>
          <w:szCs w:val="48"/>
          <w:highlight w:val="none"/>
          <w:lang w:val="en-US" w:eastAsia="zh-CN"/>
        </w:rPr>
      </w:pPr>
      <w:r>
        <w:rPr>
          <w:rFonts w:hint="eastAsia" w:ascii="黑体" w:hAnsi="黑体" w:eastAsia="黑体" w:cs="黑体"/>
          <w:b/>
          <w:bCs/>
          <w:color w:val="auto"/>
          <w:sz w:val="48"/>
          <w:szCs w:val="48"/>
          <w:highlight w:val="none"/>
          <w:lang w:val="en-US" w:eastAsia="zh-CN"/>
        </w:rPr>
        <w:t>竣工环境保护验收监测报告表</w:t>
      </w: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bidi w:val="0"/>
        <w:ind w:left="0" w:leftChars="0" w:firstLine="0" w:firstLineChars="0"/>
        <w:jc w:val="center"/>
        <w:rPr>
          <w:rFonts w:hint="eastAsia"/>
          <w:b/>
          <w:bCs/>
          <w:color w:val="auto"/>
          <w:sz w:val="48"/>
          <w:szCs w:val="48"/>
          <w:highlight w:val="green"/>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建设单位：合肥市工程技术学校</w:t>
      </w:r>
    </w:p>
    <w:p>
      <w:pPr>
        <w:pStyle w:val="4"/>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eastAsia"/>
          <w:lang w:val="en-US" w:eastAsia="zh-CN"/>
        </w:rPr>
      </w:pPr>
      <w:r>
        <w:rPr>
          <w:rFonts w:hint="eastAsia" w:ascii="仿宋" w:hAnsi="仿宋" w:eastAsia="仿宋" w:cs="仿宋"/>
          <w:b/>
          <w:bCs/>
          <w:sz w:val="32"/>
          <w:szCs w:val="32"/>
          <w:lang w:val="en-US" w:eastAsia="zh-CN"/>
        </w:rPr>
        <w:t>编制单位：安徽海峰分析测试科技有限公司</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b/>
          <w:bCs/>
          <w:color w:val="auto"/>
          <w:sz w:val="32"/>
          <w:szCs w:val="32"/>
          <w:highlight w:val="none"/>
          <w:lang w:val="en-US" w:eastAsia="zh-CN"/>
        </w:rPr>
        <w:sectPr>
          <w:headerReference r:id="rId5" w:type="default"/>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rPr>
          <w:rFonts w:hint="eastAsia" w:ascii="仿宋" w:hAnsi="仿宋" w:eastAsia="仿宋" w:cs="仿宋"/>
          <w:b/>
          <w:bCs/>
          <w:color w:val="auto"/>
          <w:sz w:val="32"/>
          <w:szCs w:val="32"/>
          <w:highlight w:val="none"/>
          <w:lang w:val="en-US" w:eastAsia="zh-CN"/>
        </w:rPr>
        <w:t>二〇二四年五月</w:t>
      </w:r>
    </w:p>
    <w:p>
      <w:pPr>
        <w:tabs>
          <w:tab w:val="center" w:pos="4153"/>
        </w:tabs>
        <w:spacing w:line="480" w:lineRule="atLeast"/>
        <w:ind w:left="0" w:leftChars="0" w:firstLine="0" w:firstLineChars="0"/>
        <w:outlineLvl w:val="9"/>
        <w:rPr>
          <w:rFonts w:hint="eastAsia" w:ascii="Times New Roman" w:hAnsi="Times New Roman" w:eastAsia="宋体"/>
          <w:b w:val="0"/>
          <w:color w:val="auto"/>
          <w:sz w:val="28"/>
          <w:szCs w:val="28"/>
          <w:highlight w:val="none"/>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33"/>
        <w:gridCol w:w="62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733"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distribute"/>
              <w:textAlignment w:val="auto"/>
              <w:rPr>
                <w:rFonts w:hint="default" w:ascii="Times New Roman" w:hAnsi="Times New Roman" w:eastAsia="宋体" w:cs="Times New Roman"/>
                <w:sz w:val="28"/>
                <w:szCs w:val="28"/>
                <w:vertAlign w:val="baseline"/>
              </w:rPr>
            </w:pPr>
            <w:r>
              <w:rPr>
                <w:rFonts w:hint="default" w:ascii="Times New Roman" w:hAnsi="Times New Roman" w:eastAsia="宋体" w:cs="Times New Roman"/>
                <w:sz w:val="28"/>
                <w:szCs w:val="28"/>
              </w:rPr>
              <w:t>建设单位法人代表：</w:t>
            </w:r>
          </w:p>
        </w:tc>
        <w:tc>
          <w:tcPr>
            <w:tcW w:w="6271"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center"/>
              <w:textAlignment w:val="auto"/>
              <w:rPr>
                <w:rFonts w:hint="default" w:ascii="Times New Roman" w:hAnsi="Times New Roman" w:eastAsia="宋体" w:cs="Times New Roman"/>
                <w:sz w:val="28"/>
                <w:szCs w:val="2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733"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distribute"/>
              <w:textAlignment w:val="auto"/>
              <w:rPr>
                <w:rFonts w:hint="default" w:ascii="Times New Roman" w:hAnsi="Times New Roman" w:eastAsia="宋体" w:cs="Times New Roman"/>
                <w:sz w:val="28"/>
                <w:szCs w:val="28"/>
                <w:vertAlign w:val="baseline"/>
              </w:rPr>
            </w:pPr>
            <w:r>
              <w:rPr>
                <w:rFonts w:hint="default" w:ascii="Times New Roman" w:hAnsi="Times New Roman" w:eastAsia="宋体" w:cs="Times New Roman"/>
                <w:sz w:val="28"/>
                <w:szCs w:val="28"/>
                <w:lang w:val="en-US" w:eastAsia="zh-CN"/>
              </w:rPr>
              <w:t>编制单位法人代表</w:t>
            </w:r>
            <w:r>
              <w:rPr>
                <w:rFonts w:hint="default" w:ascii="Times New Roman" w:hAnsi="Times New Roman" w:eastAsia="宋体" w:cs="Times New Roman"/>
                <w:sz w:val="28"/>
                <w:szCs w:val="28"/>
              </w:rPr>
              <w:t>：</w:t>
            </w:r>
          </w:p>
        </w:tc>
        <w:tc>
          <w:tcPr>
            <w:tcW w:w="6271"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center"/>
              <w:textAlignment w:val="auto"/>
              <w:rPr>
                <w:rFonts w:hint="default" w:ascii="Times New Roman" w:hAnsi="Times New Roman" w:eastAsia="宋体" w:cs="Times New Roman"/>
                <w:sz w:val="28"/>
                <w:szCs w:val="2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733"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distribute"/>
              <w:textAlignment w:val="auto"/>
              <w:rPr>
                <w:rFonts w:hint="default" w:ascii="Times New Roman" w:hAnsi="Times New Roman" w:eastAsia="宋体" w:cs="Times New Roman"/>
                <w:sz w:val="28"/>
                <w:szCs w:val="28"/>
                <w:vertAlign w:val="baseline"/>
              </w:rPr>
            </w:pPr>
            <w:r>
              <w:rPr>
                <w:rFonts w:hint="default" w:ascii="Times New Roman" w:hAnsi="Times New Roman" w:eastAsia="宋体" w:cs="Times New Roman"/>
                <w:sz w:val="28"/>
                <w:szCs w:val="28"/>
              </w:rPr>
              <w:t>项目负责人：</w:t>
            </w:r>
          </w:p>
        </w:tc>
        <w:tc>
          <w:tcPr>
            <w:tcW w:w="6271"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center"/>
              <w:textAlignment w:val="auto"/>
              <w:rPr>
                <w:rFonts w:hint="default" w:ascii="Times New Roman" w:hAnsi="Times New Roman" w:eastAsia="宋体" w:cs="Times New Roman"/>
                <w:sz w:val="28"/>
                <w:szCs w:val="2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733"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distribute"/>
              <w:textAlignment w:val="auto"/>
              <w:rPr>
                <w:rFonts w:hint="default" w:ascii="Times New Roman" w:hAnsi="Times New Roman" w:eastAsia="宋体" w:cs="Times New Roman"/>
                <w:sz w:val="28"/>
                <w:szCs w:val="28"/>
                <w:vertAlign w:val="baseline"/>
              </w:rPr>
            </w:pPr>
            <w:r>
              <w:rPr>
                <w:rFonts w:hint="default" w:ascii="Times New Roman" w:hAnsi="Times New Roman" w:eastAsia="宋体" w:cs="Times New Roman"/>
                <w:sz w:val="28"/>
                <w:szCs w:val="28"/>
              </w:rPr>
              <w:t>填表人：</w:t>
            </w:r>
          </w:p>
        </w:tc>
        <w:tc>
          <w:tcPr>
            <w:tcW w:w="6271" w:type="dxa"/>
            <w:shd w:val="clear" w:color="auto" w:fill="auto"/>
            <w:vAlign w:val="center"/>
          </w:tcPr>
          <w:p>
            <w:pPr>
              <w:keepNext w:val="0"/>
              <w:keepLines w:val="0"/>
              <w:pageBreakBefore w:val="0"/>
              <w:widowControl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center"/>
              <w:textAlignment w:val="auto"/>
              <w:rPr>
                <w:rFonts w:hint="default" w:ascii="Times New Roman" w:hAnsi="Times New Roman" w:eastAsia="宋体" w:cs="Times New Roman"/>
                <w:sz w:val="28"/>
                <w:szCs w:val="28"/>
                <w:vertAlign w:val="baseline"/>
              </w:rPr>
            </w:pPr>
          </w:p>
        </w:tc>
      </w:tr>
    </w:tbl>
    <w:p>
      <w:pPr>
        <w:keepNext w:val="0"/>
        <w:keepLines w:val="0"/>
        <w:pageBreakBefore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left="0" w:leftChars="0" w:firstLine="0" w:firstLineChars="0"/>
        <w:jc w:val="left"/>
        <w:textAlignment w:val="auto"/>
        <w:rPr>
          <w:rFonts w:hint="eastAsia" w:asciiTheme="minorEastAsia" w:hAnsiTheme="minorEastAsia" w:eastAsiaTheme="minorEastAsia" w:cstheme="minorEastAsia"/>
          <w:sz w:val="28"/>
          <w:szCs w:val="28"/>
        </w:rPr>
      </w:pPr>
    </w:p>
    <w:p>
      <w:pPr>
        <w:keepNext w:val="0"/>
        <w:keepLines w:val="0"/>
        <w:pageBreakBefore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left="0" w:leftChars="0" w:firstLine="0" w:firstLineChars="0"/>
        <w:jc w:val="left"/>
        <w:textAlignment w:val="auto"/>
        <w:rPr>
          <w:rFonts w:hint="eastAsia" w:asciiTheme="minorEastAsia" w:hAnsiTheme="minorEastAsia" w:eastAsiaTheme="minorEastAsia" w:cstheme="minorEastAsia"/>
          <w:sz w:val="28"/>
          <w:szCs w:val="28"/>
        </w:rPr>
      </w:pPr>
    </w:p>
    <w:p>
      <w:pPr>
        <w:pStyle w:val="15"/>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80" w:lineRule="auto"/>
        <w:ind w:firstLine="0" w:firstLineChars="0"/>
        <w:jc w:val="left"/>
        <w:textAlignment w:val="auto"/>
        <w:rPr>
          <w:rFonts w:hint="eastAsia"/>
        </w:rPr>
      </w:pPr>
    </w:p>
    <w:p>
      <w:pPr>
        <w:keepNext w:val="0"/>
        <w:keepLines w:val="0"/>
        <w:pageBreakBefore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left="0" w:leftChars="0" w:firstLine="0" w:firstLineChars="0"/>
        <w:jc w:val="left"/>
        <w:textAlignment w:val="auto"/>
        <w:rPr>
          <w:rFonts w:hint="eastAsia" w:asciiTheme="minorEastAsia" w:hAnsiTheme="minorEastAsia" w:eastAsiaTheme="minorEastAsia" w:cstheme="minorEastAsia"/>
          <w:sz w:val="28"/>
          <w:szCs w:val="28"/>
        </w:rPr>
      </w:pPr>
    </w:p>
    <w:p>
      <w:pPr>
        <w:keepNext w:val="0"/>
        <w:keepLines w:val="0"/>
        <w:pageBreakBefore w:val="0"/>
        <w:tabs>
          <w:tab w:val="left" w:pos="774"/>
          <w:tab w:val="center" w:pos="4217"/>
          <w:tab w:val="right" w:pos="7027"/>
        </w:tabs>
        <w:kinsoku/>
        <w:wordWrap/>
        <w:overflowPunct/>
        <w:topLinePunct w:val="0"/>
        <w:autoSpaceDE/>
        <w:autoSpaceDN/>
        <w:bidi w:val="0"/>
        <w:adjustRightInd/>
        <w:snapToGrid/>
        <w:spacing w:beforeAutospacing="0" w:afterAutospacing="0" w:line="480" w:lineRule="auto"/>
        <w:ind w:firstLine="0" w:firstLineChars="0"/>
        <w:jc w:val="left"/>
        <w:textAlignment w:val="auto"/>
        <w:rPr>
          <w:rFonts w:ascii="仿宋" w:hAnsi="仿宋" w:eastAsia="仿宋" w:cs="仿宋"/>
          <w:sz w:val="28"/>
          <w:szCs w:val="28"/>
        </w:rPr>
      </w:pPr>
    </w:p>
    <w:p>
      <w:pPr>
        <w:pStyle w:val="4"/>
        <w:keepNext w:val="0"/>
        <w:keepLines w:val="0"/>
        <w:pageBreakBefore w:val="0"/>
        <w:widowControl w:val="0"/>
        <w:kinsoku/>
        <w:wordWrap/>
        <w:overflowPunct/>
        <w:topLinePunct w:val="0"/>
        <w:autoSpaceDE/>
        <w:autoSpaceDN/>
        <w:bidi w:val="0"/>
        <w:adjustRightInd/>
        <w:snapToGrid/>
        <w:spacing w:line="480" w:lineRule="auto"/>
        <w:ind w:firstLine="0" w:firstLineChars="0"/>
        <w:jc w:val="left"/>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600" w:lineRule="auto"/>
        <w:textAlignment w:val="auto"/>
        <w:outlineLvl w:val="9"/>
        <w:rPr>
          <w:rFonts w:hint="eastAsia" w:ascii="Times New Roman" w:hAnsi="Times New Roman" w:eastAsia="宋体"/>
          <w:b w:val="0"/>
          <w:color w:val="auto"/>
          <w:sz w:val="28"/>
          <w:szCs w:val="28"/>
          <w:highlight w:val="none"/>
        </w:rPr>
      </w:pPr>
    </w:p>
    <w:p>
      <w:pPr>
        <w:bidi w:val="0"/>
        <w:jc w:val="center"/>
        <w:rPr>
          <w:rFonts w:hint="eastAsia" w:ascii="宋体" w:hAnsi="宋体" w:eastAsia="宋体" w:cs="宋体"/>
          <w:b/>
          <w:bCs/>
          <w:color w:val="auto"/>
          <w:sz w:val="28"/>
          <w:szCs w:val="28"/>
          <w:lang w:val="en-US" w:eastAsia="zh-CN"/>
        </w:rPr>
      </w:pPr>
    </w:p>
    <w:tbl>
      <w:tblPr>
        <w:tblStyle w:val="12"/>
        <w:tblW w:w="5000" w:type="pct"/>
        <w:tblInd w:w="0" w:type="dxa"/>
        <w:tblLayout w:type="autofit"/>
        <w:tblCellMar>
          <w:top w:w="0" w:type="dxa"/>
          <w:left w:w="108" w:type="dxa"/>
          <w:bottom w:w="0" w:type="dxa"/>
          <w:right w:w="108" w:type="dxa"/>
        </w:tblCellMar>
      </w:tblPr>
      <w:tblGrid>
        <w:gridCol w:w="4501"/>
        <w:gridCol w:w="4503"/>
      </w:tblGrid>
      <w:tr>
        <w:tblPrEx>
          <w:tblCellMar>
            <w:top w:w="0" w:type="dxa"/>
            <w:left w:w="108" w:type="dxa"/>
            <w:bottom w:w="0" w:type="dxa"/>
            <w:right w:w="108" w:type="dxa"/>
          </w:tblCellMar>
        </w:tblPrEx>
        <w:tc>
          <w:tcPr>
            <w:tcW w:w="426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建设单位：</w:t>
            </w:r>
            <w:r>
              <w:rPr>
                <w:rFonts w:hint="eastAsia" w:ascii="宋体" w:hAnsi="宋体" w:cs="宋体"/>
                <w:color w:val="auto"/>
                <w:sz w:val="28"/>
                <w:szCs w:val="28"/>
                <w:lang w:val="en-US" w:eastAsia="zh-CN"/>
              </w:rPr>
              <w:t>合肥市工程技术学校</w:t>
            </w:r>
          </w:p>
        </w:tc>
        <w:tc>
          <w:tcPr>
            <w:tcW w:w="426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编制单位：</w:t>
            </w:r>
            <w:r>
              <w:rPr>
                <w:rFonts w:hint="eastAsia" w:ascii="宋体" w:hAnsi="宋体" w:eastAsia="宋体" w:cs="宋体"/>
                <w:color w:val="auto"/>
                <w:sz w:val="28"/>
                <w:szCs w:val="28"/>
                <w:lang w:eastAsia="zh-CN"/>
              </w:rPr>
              <w:t>安徽海峰分析测试科技有限公司</w:t>
            </w:r>
          </w:p>
        </w:tc>
      </w:tr>
      <w:tr>
        <w:tblPrEx>
          <w:tblCellMar>
            <w:top w:w="0" w:type="dxa"/>
            <w:left w:w="108" w:type="dxa"/>
            <w:bottom w:w="0" w:type="dxa"/>
            <w:right w:w="108" w:type="dxa"/>
          </w:tblCellMar>
        </w:tblPrEx>
        <w:tc>
          <w:tcPr>
            <w:tcW w:w="426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电话：</w:t>
            </w:r>
            <w:r>
              <w:rPr>
                <w:rFonts w:hint="eastAsia" w:cs="Times New Roman"/>
                <w:color w:val="auto"/>
                <w:sz w:val="28"/>
                <w:szCs w:val="28"/>
                <w:lang w:val="en-US" w:eastAsia="zh-CN"/>
              </w:rPr>
              <w:t>0551-82363857</w:t>
            </w:r>
          </w:p>
        </w:tc>
        <w:tc>
          <w:tcPr>
            <w:tcW w:w="426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电话：</w:t>
            </w:r>
            <w:r>
              <w:rPr>
                <w:rFonts w:hint="default" w:ascii="Times New Roman" w:hAnsi="Times New Roman" w:eastAsia="宋体" w:cs="Times New Roman"/>
                <w:color w:val="auto"/>
                <w:sz w:val="28"/>
                <w:szCs w:val="28"/>
                <w:lang w:val="en-US" w:eastAsia="zh-CN"/>
              </w:rPr>
              <w:t>0551-62593633</w:t>
            </w:r>
          </w:p>
        </w:tc>
      </w:tr>
      <w:tr>
        <w:tblPrEx>
          <w:tblCellMar>
            <w:top w:w="0" w:type="dxa"/>
            <w:left w:w="108" w:type="dxa"/>
            <w:bottom w:w="0" w:type="dxa"/>
            <w:right w:w="108" w:type="dxa"/>
          </w:tblCellMar>
        </w:tblPrEx>
        <w:trPr>
          <w:trHeight w:val="765" w:hRule="atLeast"/>
        </w:trPr>
        <w:tc>
          <w:tcPr>
            <w:tcW w:w="426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传真：</w:t>
            </w:r>
            <w:r>
              <w:rPr>
                <w:rFonts w:hint="default" w:ascii="Times New Roman" w:hAnsi="Times New Roman" w:eastAsia="宋体" w:cs="Times New Roman"/>
                <w:color w:val="auto"/>
                <w:sz w:val="28"/>
                <w:szCs w:val="28"/>
                <w:lang w:val="en-US" w:eastAsia="zh-CN"/>
              </w:rPr>
              <w:t>/</w:t>
            </w:r>
          </w:p>
        </w:tc>
        <w:tc>
          <w:tcPr>
            <w:tcW w:w="426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传真：</w:t>
            </w:r>
            <w:r>
              <w:rPr>
                <w:rFonts w:hint="default" w:ascii="Times New Roman" w:hAnsi="Times New Roman" w:eastAsia="宋体" w:cs="Times New Roman"/>
                <w:color w:val="auto"/>
                <w:sz w:val="28"/>
                <w:szCs w:val="28"/>
                <w:lang w:val="en-US" w:eastAsia="zh-CN"/>
              </w:rPr>
              <w:t>0551-65543828</w:t>
            </w:r>
          </w:p>
        </w:tc>
      </w:tr>
      <w:tr>
        <w:tblPrEx>
          <w:tblCellMar>
            <w:top w:w="0" w:type="dxa"/>
            <w:left w:w="108" w:type="dxa"/>
            <w:bottom w:w="0" w:type="dxa"/>
            <w:right w:w="108" w:type="dxa"/>
          </w:tblCellMar>
        </w:tblPrEx>
        <w:tc>
          <w:tcPr>
            <w:tcW w:w="426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邮编：</w:t>
            </w:r>
            <w:r>
              <w:rPr>
                <w:rFonts w:hint="eastAsia" w:cs="Times New Roman"/>
                <w:color w:val="auto"/>
                <w:sz w:val="28"/>
                <w:szCs w:val="28"/>
                <w:lang w:val="en-US" w:eastAsia="zh-CN"/>
              </w:rPr>
              <w:t>238000</w:t>
            </w:r>
          </w:p>
        </w:tc>
        <w:tc>
          <w:tcPr>
            <w:tcW w:w="426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邮编：</w:t>
            </w:r>
            <w:r>
              <w:rPr>
                <w:rFonts w:hint="default" w:ascii="Times New Roman" w:hAnsi="Times New Roman" w:eastAsia="宋体" w:cs="Times New Roman"/>
                <w:color w:val="auto"/>
                <w:sz w:val="28"/>
                <w:szCs w:val="28"/>
                <w:lang w:val="en-US" w:eastAsia="zh-CN"/>
              </w:rPr>
              <w:t>230000</w:t>
            </w:r>
          </w:p>
        </w:tc>
      </w:tr>
      <w:tr>
        <w:tblPrEx>
          <w:tblCellMar>
            <w:top w:w="0" w:type="dxa"/>
            <w:left w:w="108" w:type="dxa"/>
            <w:bottom w:w="0" w:type="dxa"/>
            <w:right w:w="108" w:type="dxa"/>
          </w:tblCellMar>
        </w:tblPrEx>
        <w:tc>
          <w:tcPr>
            <w:tcW w:w="426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地址：巢湖市</w:t>
            </w:r>
            <w:r>
              <w:rPr>
                <w:rFonts w:hint="eastAsia" w:cs="Times New Roman"/>
                <w:color w:val="auto"/>
                <w:sz w:val="28"/>
                <w:szCs w:val="28"/>
                <w:lang w:val="en-US" w:eastAsia="zh-CN"/>
              </w:rPr>
              <w:t>半汤路15号</w:t>
            </w:r>
          </w:p>
        </w:tc>
        <w:tc>
          <w:tcPr>
            <w:tcW w:w="426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地址：</w:t>
            </w:r>
            <w:r>
              <w:rPr>
                <w:rFonts w:hint="default" w:ascii="Times New Roman" w:hAnsi="Times New Roman" w:eastAsia="宋体" w:cs="Times New Roman"/>
                <w:color w:val="auto"/>
                <w:sz w:val="28"/>
                <w:szCs w:val="28"/>
                <w:lang w:eastAsia="zh-CN"/>
              </w:rPr>
              <w:t>安徽省合肥市庐阳中科大校友创新园</w:t>
            </w:r>
            <w:r>
              <w:rPr>
                <w:rFonts w:hint="default" w:ascii="Times New Roman" w:hAnsi="Times New Roman" w:eastAsia="宋体" w:cs="Times New Roman"/>
                <w:color w:val="auto"/>
                <w:sz w:val="28"/>
                <w:szCs w:val="28"/>
                <w:lang w:val="en-US" w:eastAsia="zh-CN"/>
              </w:rPr>
              <w:t>13号楼</w:t>
            </w:r>
          </w:p>
        </w:tc>
      </w:tr>
    </w:tbl>
    <w:p>
      <w:pPr>
        <w:pStyle w:val="4"/>
        <w:rPr>
          <w:rFonts w:hint="default"/>
          <w:color w:val="auto"/>
          <w:highlight w:val="green"/>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3"/>
        <w:jc w:val="center"/>
        <w:outlineLvl w:val="9"/>
        <w:rPr>
          <w:rFonts w:hint="eastAsia"/>
          <w:b/>
          <w:bCs/>
          <w:color w:val="auto"/>
          <w:sz w:val="32"/>
          <w:szCs w:val="32"/>
          <w:highlight w:val="none"/>
          <w:lang w:val="en-US" w:eastAsia="zh-CN"/>
        </w:rPr>
        <w:sectPr>
          <w:headerReference r:id="rId6" w:type="default"/>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eastAsia"/>
          <w:b/>
          <w:bCs/>
          <w:color w:val="auto"/>
          <w:sz w:val="32"/>
          <w:szCs w:val="32"/>
          <w:highlight w:val="none"/>
          <w:lang w:val="en-US" w:eastAsia="zh-CN"/>
        </w:rPr>
      </w:pPr>
      <w:r>
        <w:rPr>
          <w:rFonts w:hint="eastAsia"/>
          <w:b/>
          <w:bCs/>
          <w:color w:val="auto"/>
          <w:sz w:val="32"/>
          <w:szCs w:val="32"/>
          <w:highlight w:val="none"/>
          <w:lang w:val="en-US" w:eastAsia="zh-CN"/>
        </w:rPr>
        <w:t>目录</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表一：项目概况及验收监测依据-----------------------------------------------------1</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表二：建设项目基本情况--------------------------------------------------------------4</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表三：主要污染源、污染物处理及排放--------------------------------------------7</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表四：</w:t>
      </w:r>
      <w:r>
        <w:rPr>
          <w:color w:val="auto"/>
          <w:highlight w:val="none"/>
        </w:rPr>
        <w:t>监测质量控制和质量保证</w:t>
      </w:r>
      <w:r>
        <w:rPr>
          <w:rFonts w:hint="eastAsia"/>
          <w:color w:val="auto"/>
          <w:highlight w:val="none"/>
          <w:lang w:val="en-US" w:eastAsia="zh-CN"/>
        </w:rPr>
        <w:t>----------------------------------------------------11</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表五：</w:t>
      </w:r>
      <w:r>
        <w:rPr>
          <w:color w:val="auto"/>
          <w:highlight w:val="none"/>
        </w:rPr>
        <w:t>验收监测内容</w:t>
      </w:r>
      <w:r>
        <w:rPr>
          <w:rFonts w:hint="eastAsia"/>
          <w:color w:val="auto"/>
          <w:highlight w:val="none"/>
          <w:lang w:val="en-US" w:eastAsia="zh-CN"/>
        </w:rPr>
        <w:t>-------------------------------------------------------------------12</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表六：</w:t>
      </w:r>
      <w:r>
        <w:rPr>
          <w:color w:val="auto"/>
          <w:highlight w:val="none"/>
        </w:rPr>
        <w:t>监测</w:t>
      </w:r>
      <w:r>
        <w:rPr>
          <w:rFonts w:hint="eastAsia"/>
          <w:color w:val="auto"/>
          <w:highlight w:val="none"/>
          <w:lang w:val="en-US" w:eastAsia="zh-CN"/>
        </w:rPr>
        <w:t>结果分析及评价----------------------------------------------------------13</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表七：</w:t>
      </w:r>
      <w:r>
        <w:rPr>
          <w:rFonts w:eastAsia="宋体"/>
          <w:color w:val="auto"/>
          <w:sz w:val="24"/>
          <w:szCs w:val="24"/>
          <w:highlight w:val="none"/>
        </w:rPr>
        <w:t>验收监测结论及建议</w:t>
      </w:r>
      <w:r>
        <w:rPr>
          <w:rFonts w:hint="eastAsia"/>
          <w:color w:val="auto"/>
          <w:highlight w:val="none"/>
          <w:lang w:val="en-US" w:eastAsia="zh-CN"/>
        </w:rPr>
        <w:t>----------------------------------------------------------14</w:t>
      </w:r>
    </w:p>
    <w:p>
      <w:pPr>
        <w:keepNext w:val="0"/>
        <w:keepLines w:val="0"/>
        <w:pageBreakBefore w:val="0"/>
        <w:widowControl w:val="0"/>
        <w:kinsoku/>
        <w:wordWrap/>
        <w:overflowPunct/>
        <w:topLinePunct w:val="0"/>
        <w:autoSpaceDE/>
        <w:autoSpaceDN/>
        <w:bidi w:val="0"/>
        <w:adjustRightInd/>
        <w:snapToGrid/>
        <w:jc w:val="both"/>
        <w:textAlignment w:val="auto"/>
        <w:rPr>
          <w:rFonts w:hint="default"/>
          <w:color w:val="auto"/>
          <w:highlight w:val="none"/>
          <w:lang w:val="en-US" w:eastAsia="zh-CN"/>
        </w:rPr>
      </w:pPr>
      <w:r>
        <w:rPr>
          <w:rFonts w:hint="eastAsia"/>
          <w:color w:val="auto"/>
          <w:highlight w:val="none"/>
          <w:lang w:val="en-US" w:eastAsia="zh-CN"/>
        </w:rPr>
        <w:t>表八：附图、附件----------------------------------------------------------------------15</w:t>
      </w:r>
    </w:p>
    <w:p>
      <w:pPr>
        <w:keepNext w:val="0"/>
        <w:keepLines w:val="0"/>
        <w:pageBreakBefore w:val="0"/>
        <w:widowControl w:val="0"/>
        <w:kinsoku/>
        <w:wordWrap/>
        <w:overflowPunct/>
        <w:topLinePunct w:val="0"/>
        <w:autoSpaceDE/>
        <w:autoSpaceDN/>
        <w:bidi w:val="0"/>
        <w:adjustRightInd/>
        <w:snapToGrid/>
        <w:jc w:val="both"/>
        <w:textAlignment w:val="auto"/>
        <w:rPr>
          <w:rFonts w:hint="default" w:eastAsia="宋体"/>
          <w:color w:val="auto"/>
          <w:highlight w:val="green"/>
          <w:lang w:val="en-US" w:eastAsia="zh-CN"/>
        </w:rPr>
        <w:sectPr>
          <w:headerReference r:id="rId7" w:type="default"/>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11"/>
        <w:rPr>
          <w:rFonts w:hint="default"/>
          <w:color w:val="auto"/>
          <w:highlight w:val="green"/>
          <w:lang w:val="en-US" w:eastAsia="zh-CN"/>
        </w:rPr>
      </w:pPr>
    </w:p>
    <w:p>
      <w:pPr>
        <w:rPr>
          <w:rFonts w:hint="default"/>
          <w:color w:val="auto"/>
          <w:highlight w:val="green"/>
          <w:lang w:val="en-US" w:eastAsia="zh-CN"/>
        </w:rPr>
        <w:sectPr>
          <w:headerReference r:id="rId8" w:type="default"/>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表一：项目概况及验收监测依据</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2167"/>
        <w:gridCol w:w="2262"/>
        <w:gridCol w:w="706"/>
        <w:gridCol w:w="840"/>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建设项目名称</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highlight w:val="none"/>
                <w:lang w:val="en-US" w:eastAsia="zh-CN"/>
              </w:rPr>
            </w:pPr>
            <w:r>
              <w:rPr>
                <w:rFonts w:hint="default" w:eastAsia="宋体"/>
                <w:color w:val="auto"/>
                <w:highlight w:val="none"/>
                <w:lang w:val="en-US" w:eastAsia="zh-CN"/>
              </w:rPr>
              <w:t>合肥市工程技术学校学生宿舍楼建设项目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建设单位名称</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default" w:eastAsia="宋体"/>
                <w:color w:val="auto"/>
                <w:highlight w:val="none"/>
                <w:lang w:val="en-US" w:eastAsia="zh-CN"/>
              </w:rPr>
              <w:t>合肥市工程技术学校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建设项目性质</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新建</w:t>
            </w:r>
            <w:r>
              <w:rPr>
                <w:rFonts w:hint="default" w:ascii="Arial" w:hAnsi="Arial" w:cs="Arial"/>
                <w:color w:val="auto"/>
                <w:highlight w:val="none"/>
                <w:lang w:val="en-US" w:eastAsia="zh-CN"/>
              </w:rPr>
              <w:t>√</w:t>
            </w:r>
            <w:r>
              <w:rPr>
                <w:rFonts w:hint="eastAsia"/>
                <w:color w:val="auto"/>
                <w:highlight w:val="none"/>
                <w:lang w:val="en-US" w:eastAsia="zh-CN"/>
              </w:rPr>
              <w:t xml:space="preserve">   改扩建   技改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建设地点</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巢湖市半汤路15号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主要产品名称</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设计生产能力</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FF0000"/>
                <w:highlight w:val="none"/>
                <w:lang w:val="en-US" w:eastAsia="zh-CN"/>
              </w:rPr>
            </w:pPr>
            <w:r>
              <w:rPr>
                <w:rFonts w:hint="eastAsia"/>
                <w:color w:val="auto"/>
                <w:highlight w:val="none"/>
                <w:lang w:val="en-US" w:eastAsia="zh-CN"/>
              </w:rPr>
              <w:t>实际生产能力</w:t>
            </w:r>
          </w:p>
        </w:tc>
        <w:tc>
          <w:tcPr>
            <w:tcW w:w="702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FF0000"/>
                <w:sz w:val="24"/>
                <w:szCs w:val="24"/>
                <w:highlight w:val="none"/>
                <w:lang w:val="en-US" w:eastAsia="zh-CN"/>
              </w:rPr>
            </w:pPr>
            <w:r>
              <w:rPr>
                <w:rFonts w:hint="eastAsia" w:cs="Times New Roman"/>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项目备案时间</w:t>
            </w:r>
          </w:p>
        </w:tc>
        <w:tc>
          <w:tcPr>
            <w:tcW w:w="216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FF"/>
                <w:highlight w:val="none"/>
                <w:lang w:val="en-US" w:eastAsia="zh-CN"/>
              </w:rPr>
            </w:pPr>
            <w:r>
              <w:rPr>
                <w:rFonts w:hint="eastAsia"/>
                <w:color w:val="auto"/>
                <w:highlight w:val="none"/>
                <w:lang w:val="en-US" w:eastAsia="zh-CN"/>
              </w:rPr>
              <w:t>/</w:t>
            </w:r>
          </w:p>
        </w:tc>
        <w:tc>
          <w:tcPr>
            <w:tcW w:w="226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开工建设时间</w:t>
            </w:r>
          </w:p>
        </w:tc>
        <w:tc>
          <w:tcPr>
            <w:tcW w:w="2597"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FF"/>
                <w:highlight w:val="none"/>
                <w:lang w:val="en-US" w:eastAsia="zh-CN"/>
              </w:rPr>
            </w:pPr>
            <w:r>
              <w:rPr>
                <w:rFonts w:hint="eastAsia"/>
                <w:color w:val="auto"/>
                <w:highlight w:val="none"/>
                <w:lang w:val="en-US" w:eastAsia="zh-CN"/>
              </w:rPr>
              <w:t>2022年1月8日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FF0000"/>
                <w:highlight w:val="green"/>
                <w:lang w:val="en-US" w:eastAsia="zh-CN"/>
              </w:rPr>
            </w:pPr>
            <w:r>
              <w:rPr>
                <w:rFonts w:hint="eastAsia"/>
                <w:color w:val="auto"/>
                <w:highlight w:val="none"/>
                <w:lang w:val="en-US" w:eastAsia="zh-CN"/>
              </w:rPr>
              <w:t>项目竣工时间</w:t>
            </w:r>
          </w:p>
        </w:tc>
        <w:tc>
          <w:tcPr>
            <w:tcW w:w="216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FF"/>
                <w:highlight w:val="green"/>
                <w:lang w:val="en-US" w:eastAsia="zh-CN"/>
              </w:rPr>
            </w:pPr>
            <w:r>
              <w:rPr>
                <w:rFonts w:hint="eastAsia"/>
                <w:color w:val="auto"/>
                <w:highlight w:val="none"/>
                <w:lang w:val="en-US" w:eastAsia="zh-CN"/>
              </w:rPr>
              <w:t>2023年12月19日</w:t>
            </w:r>
          </w:p>
        </w:tc>
        <w:tc>
          <w:tcPr>
            <w:tcW w:w="226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现场验收监测时间</w:t>
            </w:r>
          </w:p>
        </w:tc>
        <w:tc>
          <w:tcPr>
            <w:tcW w:w="2597"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2024年3月5日-6日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环评报告审批部门</w:t>
            </w:r>
          </w:p>
        </w:tc>
        <w:tc>
          <w:tcPr>
            <w:tcW w:w="216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w:t>
            </w:r>
          </w:p>
        </w:tc>
        <w:tc>
          <w:tcPr>
            <w:tcW w:w="226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环评报告表编制单位</w:t>
            </w:r>
          </w:p>
        </w:tc>
        <w:tc>
          <w:tcPr>
            <w:tcW w:w="2597"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pStyle w:val="18"/>
              <w:keepNext w:val="0"/>
              <w:keepLines w:val="0"/>
              <w:widowControl w:val="0"/>
              <w:suppressLineNumbers w:val="0"/>
              <w:bidi w:val="0"/>
              <w:spacing w:before="0" w:beforeAutospacing="0" w:after="0" w:afterAutospacing="0"/>
              <w:ind w:left="0" w:leftChars="0" w:right="0" w:rightChars="0"/>
              <w:rPr>
                <w:rFonts w:hint="eastAsia"/>
                <w:color w:val="auto"/>
                <w:highlight w:val="none"/>
                <w:lang w:val="en-US" w:eastAsia="zh-CN"/>
              </w:rPr>
            </w:pPr>
            <w:r>
              <w:rPr>
                <w:rFonts w:hint="eastAsia"/>
                <w:szCs w:val="20"/>
                <w:highlight w:val="none"/>
              </w:rPr>
              <w:t>环保设施设计单位</w:t>
            </w:r>
          </w:p>
        </w:tc>
        <w:tc>
          <w:tcPr>
            <w:tcW w:w="2167" w:type="dxa"/>
            <w:vAlign w:val="center"/>
          </w:tcPr>
          <w:p>
            <w:pPr>
              <w:pStyle w:val="18"/>
              <w:keepNext w:val="0"/>
              <w:keepLines w:val="0"/>
              <w:widowControl w:val="0"/>
              <w:suppressLineNumbers w:val="0"/>
              <w:bidi w:val="0"/>
              <w:spacing w:before="0" w:beforeAutospacing="0" w:after="0" w:afterAutospacing="0"/>
              <w:ind w:left="0" w:leftChars="0" w:right="0" w:rightChars="0"/>
              <w:rPr>
                <w:rFonts w:hint="default"/>
                <w:color w:val="auto"/>
                <w:highlight w:val="none"/>
                <w:lang w:val="en-US" w:eastAsia="zh-CN"/>
              </w:rPr>
            </w:pPr>
            <w:r>
              <w:rPr>
                <w:rFonts w:hint="eastAsia"/>
                <w:color w:val="auto"/>
                <w:highlight w:val="none"/>
                <w:lang w:val="en-US" w:eastAsia="zh-CN"/>
              </w:rPr>
              <w:t>合肥市工业大学设计院（集团）有限公司</w:t>
            </w:r>
          </w:p>
        </w:tc>
        <w:tc>
          <w:tcPr>
            <w:tcW w:w="2262" w:type="dxa"/>
            <w:vAlign w:val="center"/>
          </w:tcPr>
          <w:p>
            <w:pPr>
              <w:pStyle w:val="18"/>
              <w:keepNext w:val="0"/>
              <w:keepLines w:val="0"/>
              <w:widowControl w:val="0"/>
              <w:suppressLineNumbers w:val="0"/>
              <w:bidi w:val="0"/>
              <w:spacing w:before="0" w:beforeAutospacing="0" w:after="0" w:afterAutospacing="0"/>
              <w:ind w:left="0" w:leftChars="0" w:right="0" w:rightChars="0"/>
              <w:rPr>
                <w:rFonts w:hint="eastAsia"/>
                <w:color w:val="auto"/>
                <w:highlight w:val="none"/>
                <w:lang w:val="en-US" w:eastAsia="zh-CN"/>
              </w:rPr>
            </w:pPr>
            <w:r>
              <w:rPr>
                <w:rFonts w:hint="eastAsia"/>
                <w:szCs w:val="20"/>
                <w:highlight w:val="none"/>
              </w:rPr>
              <w:t>环保设施施工单位</w:t>
            </w:r>
          </w:p>
        </w:tc>
        <w:tc>
          <w:tcPr>
            <w:tcW w:w="2597" w:type="dxa"/>
            <w:gridSpan w:val="3"/>
            <w:vAlign w:val="center"/>
          </w:tcPr>
          <w:p>
            <w:pPr>
              <w:pStyle w:val="18"/>
              <w:keepNext w:val="0"/>
              <w:keepLines w:val="0"/>
              <w:widowControl w:val="0"/>
              <w:suppressLineNumbers w:val="0"/>
              <w:bidi w:val="0"/>
              <w:spacing w:before="0" w:beforeAutospacing="0" w:after="0" w:afterAutospacing="0"/>
              <w:ind w:left="0" w:leftChars="0" w:right="0" w:rightChars="0"/>
              <w:rPr>
                <w:rFonts w:hint="default"/>
                <w:color w:val="auto"/>
                <w:highlight w:val="none"/>
                <w:lang w:val="en-US" w:eastAsia="zh-CN"/>
              </w:rPr>
            </w:pPr>
            <w:r>
              <w:rPr>
                <w:rFonts w:hint="eastAsia"/>
                <w:color w:val="auto"/>
                <w:highlight w:val="none"/>
                <w:lang w:val="en-US" w:eastAsia="zh-CN"/>
              </w:rPr>
              <w:t>安徽同济建设集团有限责任公司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投资总概算（万元）</w:t>
            </w:r>
          </w:p>
        </w:tc>
        <w:tc>
          <w:tcPr>
            <w:tcW w:w="216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6410</w:t>
            </w:r>
          </w:p>
        </w:tc>
        <w:tc>
          <w:tcPr>
            <w:tcW w:w="226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环保投资总概算（万元）</w:t>
            </w:r>
          </w:p>
        </w:tc>
        <w:tc>
          <w:tcPr>
            <w:tcW w:w="70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比例</w:t>
            </w:r>
          </w:p>
        </w:tc>
        <w:tc>
          <w:tcPr>
            <w:tcW w:w="105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实际总概算（万元）</w:t>
            </w:r>
          </w:p>
        </w:tc>
        <w:tc>
          <w:tcPr>
            <w:tcW w:w="216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4430</w:t>
            </w:r>
          </w:p>
        </w:tc>
        <w:tc>
          <w:tcPr>
            <w:tcW w:w="226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环保投资（万元）</w:t>
            </w:r>
          </w:p>
        </w:tc>
        <w:tc>
          <w:tcPr>
            <w:tcW w:w="70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75</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比例</w:t>
            </w:r>
          </w:p>
        </w:tc>
        <w:tc>
          <w:tcPr>
            <w:tcW w:w="105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rFonts w:hint="eastAsia"/>
                <w:color w:val="auto"/>
                <w:highlight w:val="none"/>
                <w:lang w:val="en-US" w:eastAsia="zh-CN"/>
              </w:rPr>
              <w:t>验收监测依据</w:t>
            </w:r>
          </w:p>
        </w:tc>
        <w:tc>
          <w:tcPr>
            <w:tcW w:w="7026" w:type="dxa"/>
            <w:gridSpan w:val="5"/>
            <w:vAlign w:val="center"/>
          </w:tcPr>
          <w:p>
            <w:pPr>
              <w:keepNext w:val="0"/>
              <w:keepLines w:val="0"/>
              <w:widowControl w:val="0"/>
              <w:numPr>
                <w:ilvl w:val="0"/>
                <w:numId w:val="0"/>
              </w:numPr>
              <w:suppressLineNumbers w:val="0"/>
              <w:adjustRightInd/>
              <w:snapToGrid/>
              <w:spacing w:before="0" w:beforeAutospacing="0" w:after="0" w:afterAutospacing="0" w:line="360" w:lineRule="auto"/>
              <w:ind w:right="0" w:rightChars="0"/>
              <w:jc w:val="both"/>
              <w:outlineLvl w:val="0"/>
              <w:rPr>
                <w:rFonts w:hint="eastAsia"/>
                <w:color w:val="auto"/>
                <w:highlight w:val="none"/>
                <w:vertAlign w:val="baseline"/>
                <w:lang w:val="en-US" w:eastAsia="zh-CN"/>
              </w:rPr>
            </w:pPr>
            <w:r>
              <w:rPr>
                <w:rFonts w:hint="eastAsia" w:eastAsia="宋体"/>
                <w:b/>
                <w:color w:val="auto"/>
                <w:kern w:val="2"/>
                <w:sz w:val="24"/>
                <w:szCs w:val="24"/>
                <w:highlight w:val="none"/>
                <w:lang w:val="en-US" w:eastAsia="zh-CN"/>
              </w:rPr>
              <w:t>1、</w:t>
            </w:r>
            <w:r>
              <w:rPr>
                <w:rFonts w:hint="default" w:ascii="Times New Roman" w:hAnsi="Times New Roman" w:eastAsia="宋体"/>
                <w:b/>
                <w:color w:val="auto"/>
                <w:kern w:val="2"/>
                <w:sz w:val="24"/>
                <w:szCs w:val="24"/>
                <w:highlight w:val="none"/>
              </w:rPr>
              <w:t>建设项目环境保护相关法律、法规和规章制度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eastAsia="zh-CN"/>
              </w:rPr>
              <w:t>（</w:t>
            </w:r>
            <w:r>
              <w:rPr>
                <w:rFonts w:hint="eastAsia" w:ascii="Times New Roman" w:hAnsi="Times New Roman"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eastAsia="zh-CN"/>
              </w:rPr>
              <w:t>）《中华人民共和环境保护法》，</w:t>
            </w:r>
            <w:r>
              <w:rPr>
                <w:rFonts w:hint="eastAsia" w:ascii="Times New Roman" w:hAnsi="Times New Roman" w:eastAsia="宋体" w:cs="Times New Roman"/>
                <w:b w:val="0"/>
                <w:bCs w:val="0"/>
                <w:color w:val="auto"/>
                <w:sz w:val="24"/>
                <w:szCs w:val="24"/>
                <w:highlight w:val="none"/>
                <w:lang w:val="en-US" w:eastAsia="zh-CN"/>
              </w:rPr>
              <w:t>20</w:t>
            </w:r>
            <w:r>
              <w:rPr>
                <w:rFonts w:hint="eastAsia" w:eastAsia="宋体" w:cs="Times New Roman"/>
                <w:b w:val="0"/>
                <w:bCs w:val="0"/>
                <w:color w:val="auto"/>
                <w:sz w:val="24"/>
                <w:szCs w:val="24"/>
                <w:highlight w:val="none"/>
                <w:lang w:val="en-US" w:eastAsia="zh-CN"/>
              </w:rPr>
              <w:t>15</w:t>
            </w:r>
            <w:r>
              <w:rPr>
                <w:rFonts w:hint="eastAsia" w:ascii="Times New Roman" w:hAnsi="Times New Roman" w:eastAsia="宋体" w:cs="Times New Roman"/>
                <w:b w:val="0"/>
                <w:bCs w:val="0"/>
                <w:color w:val="auto"/>
                <w:sz w:val="24"/>
                <w:szCs w:val="24"/>
                <w:highlight w:val="none"/>
                <w:lang w:val="en-US" w:eastAsia="zh-CN"/>
              </w:rPr>
              <w:t>年</w:t>
            </w:r>
            <w:r>
              <w:rPr>
                <w:rFonts w:hint="eastAsia"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val="en-US" w:eastAsia="zh-CN"/>
              </w:rPr>
              <w:t>月</w:t>
            </w:r>
            <w:r>
              <w:rPr>
                <w:rFonts w:hint="eastAsia"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val="en-US" w:eastAsia="zh-CN"/>
              </w:rPr>
              <w:t>日</w:t>
            </w:r>
            <w:r>
              <w:rPr>
                <w:rFonts w:hint="eastAsia" w:eastAsia="宋体" w:cs="Times New Roman"/>
                <w:b w:val="0"/>
                <w:bCs w:val="0"/>
                <w:color w:val="auto"/>
                <w:sz w:val="24"/>
                <w:szCs w:val="24"/>
                <w:highlight w:val="none"/>
                <w:lang w:val="en-US" w:eastAsia="zh-CN"/>
              </w:rPr>
              <w:t>实施</w:t>
            </w:r>
            <w:r>
              <w:rPr>
                <w:rFonts w:hint="eastAsia" w:ascii="Times New Roman" w:hAnsi="Times New Roman" w:eastAsia="宋体" w:cs="Times New Roman"/>
                <w:b w:val="0"/>
                <w:bCs w:val="0"/>
                <w:color w:val="auto"/>
                <w:sz w:val="24"/>
                <w:szCs w:val="24"/>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（2）《中华人民共和国环境影响评价法》2019年1月11日；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（3）《中华人民共和国大气污染防治法》2018年11月13日；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（4）《中华人民共和国水污染防治法》2018年1月1日；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b w:val="0"/>
                <w:bCs w:val="0"/>
                <w:color w:val="auto"/>
                <w:sz w:val="24"/>
                <w:szCs w:val="24"/>
                <w:highlight w:val="none"/>
              </w:rPr>
            </w:pPr>
            <w:r>
              <w:rPr>
                <w:rFonts w:hint="eastAsia" w:ascii="Times New Roman" w:hAnsi="Times New Roman" w:eastAsia="宋体" w:cs="Times New Roman"/>
                <w:b w:val="0"/>
                <w:bCs w:val="0"/>
                <w:color w:val="auto"/>
                <w:sz w:val="24"/>
                <w:szCs w:val="24"/>
                <w:highlight w:val="none"/>
                <w:lang w:val="en-US" w:eastAsia="zh-CN"/>
              </w:rPr>
              <w:t>（5）《中华人民共和国噪声污染防治法》</w:t>
            </w:r>
            <w:r>
              <w:rPr>
                <w:rFonts w:hint="default" w:ascii="Times New Roman" w:hAnsi="Times New Roman" w:eastAsia="宋体" w:cs="Times New Roman"/>
                <w:b w:val="0"/>
                <w:bCs w:val="0"/>
                <w:color w:val="auto"/>
                <w:sz w:val="24"/>
                <w:szCs w:val="24"/>
                <w:highlight w:val="none"/>
              </w:rPr>
              <w:t>20</w:t>
            </w:r>
            <w:r>
              <w:rPr>
                <w:rFonts w:hint="eastAsia" w:eastAsia="宋体" w:cs="Times New Roman"/>
                <w:b w:val="0"/>
                <w:bCs w:val="0"/>
                <w:color w:val="auto"/>
                <w:sz w:val="24"/>
                <w:szCs w:val="24"/>
                <w:highlight w:val="none"/>
                <w:lang w:val="en-US" w:eastAsia="zh-CN"/>
              </w:rPr>
              <w:t>2</w:t>
            </w:r>
            <w:r>
              <w:rPr>
                <w:rFonts w:hint="eastAsia" w:cs="Times New Roman"/>
                <w:b w:val="0"/>
                <w:bCs w:val="0"/>
                <w:color w:val="auto"/>
                <w:sz w:val="24"/>
                <w:szCs w:val="24"/>
                <w:highlight w:val="none"/>
                <w:lang w:val="en-US" w:eastAsia="zh-CN"/>
              </w:rPr>
              <w:t>2</w:t>
            </w:r>
            <w:r>
              <w:rPr>
                <w:rFonts w:hint="default" w:ascii="Times New Roman" w:hAnsi="Times New Roman" w:eastAsia="宋体" w:cs="Times New Roman"/>
                <w:b w:val="0"/>
                <w:bCs w:val="0"/>
                <w:color w:val="auto"/>
                <w:sz w:val="24"/>
                <w:szCs w:val="24"/>
                <w:highlight w:val="none"/>
              </w:rPr>
              <w:t>年</w:t>
            </w:r>
            <w:r>
              <w:rPr>
                <w:rFonts w:hint="eastAsia" w:cs="Times New Roman"/>
                <w:b w:val="0"/>
                <w:bCs w:val="0"/>
                <w:color w:val="auto"/>
                <w:sz w:val="24"/>
                <w:szCs w:val="24"/>
                <w:highlight w:val="none"/>
                <w:lang w:val="en-US" w:eastAsia="zh-CN"/>
              </w:rPr>
              <w:t>6</w:t>
            </w:r>
            <w:r>
              <w:rPr>
                <w:rFonts w:hint="default" w:ascii="Times New Roman" w:hAnsi="Times New Roman" w:eastAsia="宋体" w:cs="Times New Roman"/>
                <w:b w:val="0"/>
                <w:bCs w:val="0"/>
                <w:color w:val="auto"/>
                <w:sz w:val="24"/>
                <w:szCs w:val="24"/>
                <w:highlight w:val="none"/>
              </w:rPr>
              <w:t>月</w:t>
            </w:r>
            <w:r>
              <w:rPr>
                <w:rFonts w:hint="eastAsia" w:cs="Times New Roman"/>
                <w:b w:val="0"/>
                <w:bCs w:val="0"/>
                <w:color w:val="auto"/>
                <w:sz w:val="24"/>
                <w:szCs w:val="24"/>
                <w:highlight w:val="none"/>
                <w:lang w:val="en-US" w:eastAsia="zh-CN"/>
              </w:rPr>
              <w:t>5</w:t>
            </w:r>
            <w:r>
              <w:rPr>
                <w:rFonts w:hint="default" w:ascii="Times New Roman" w:hAnsi="Times New Roman" w:eastAsia="宋体" w:cs="Times New Roman"/>
                <w:b w:val="0"/>
                <w:bCs w:val="0"/>
                <w:color w:val="auto"/>
                <w:sz w:val="24"/>
                <w:szCs w:val="24"/>
                <w:highlight w:val="none"/>
              </w:rPr>
              <w:t>日</w:t>
            </w:r>
            <w:r>
              <w:rPr>
                <w:rFonts w:hint="eastAsia" w:cs="Times New Roman"/>
                <w:b w:val="0"/>
                <w:bCs w:val="0"/>
                <w:color w:val="auto"/>
                <w:sz w:val="24"/>
                <w:szCs w:val="24"/>
                <w:highlight w:val="none"/>
                <w:lang w:val="en-US" w:eastAsia="zh-CN"/>
              </w:rPr>
              <w:t>实施</w:t>
            </w:r>
            <w:r>
              <w:rPr>
                <w:rFonts w:hint="default" w:ascii="Times New Roman" w:hAnsi="Times New Roman" w:eastAsia="宋体" w:cs="Times New Roman"/>
                <w:b w:val="0"/>
                <w:bCs w:val="0"/>
                <w:color w:val="auto"/>
                <w:sz w:val="24"/>
                <w:szCs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（6）《中华人民共和国固体废物污染环境防治法》2020年9月1日；</w:t>
            </w:r>
          </w:p>
          <w:p>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（7）《国务院关于修改&lt;建设项目环境保护管理条例&gt;的决定》国务院第682号令；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（8）《固定污染源排污许可分类管理名录（2019年版）》（部令第11号）；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outlineLvl w:val="0"/>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（9）《安徽省环境保护条例》，2018年1月1日起施行；</w:t>
            </w:r>
          </w:p>
          <w:p>
            <w:pPr>
              <w:keepNext w:val="0"/>
              <w:keepLines w:val="0"/>
              <w:widowControl w:val="0"/>
              <w:suppressLineNumbers w:val="0"/>
              <w:adjustRightInd/>
              <w:snapToGrid/>
              <w:spacing w:before="0" w:beforeAutospacing="0" w:after="0" w:afterAutospacing="0" w:line="360" w:lineRule="auto"/>
              <w:ind w:left="0" w:leftChars="0" w:right="0" w:firstLine="0" w:firstLineChars="0"/>
              <w:jc w:val="both"/>
              <w:outlineLvl w:val="0"/>
              <w:rPr>
                <w:rFonts w:hint="default"/>
                <w:color w:val="auto"/>
                <w:highlight w:val="none"/>
                <w:lang w:val="en-US" w:eastAsia="zh-CN"/>
              </w:rPr>
            </w:pPr>
            <w:r>
              <w:rPr>
                <w:rFonts w:hint="default" w:ascii="Times New Roman" w:hAnsi="Times New Roman" w:eastAsia="宋体"/>
                <w:b/>
                <w:color w:val="auto"/>
                <w:kern w:val="2"/>
                <w:sz w:val="24"/>
                <w:szCs w:val="24"/>
                <w:highlight w:val="none"/>
              </w:rPr>
              <w:t>2</w:t>
            </w:r>
            <w:r>
              <w:rPr>
                <w:rFonts w:hint="eastAsia" w:ascii="Times New Roman" w:hAnsi="Times New Roman" w:eastAsia="宋体"/>
                <w:b/>
                <w:color w:val="auto"/>
                <w:kern w:val="2"/>
                <w:sz w:val="24"/>
                <w:szCs w:val="24"/>
                <w:highlight w:val="none"/>
              </w:rPr>
              <w:t>、</w:t>
            </w:r>
            <w:r>
              <w:rPr>
                <w:rFonts w:hint="default" w:ascii="Times New Roman" w:hAnsi="Times New Roman" w:eastAsia="宋体"/>
                <w:b/>
                <w:color w:val="auto"/>
                <w:kern w:val="2"/>
                <w:sz w:val="24"/>
                <w:szCs w:val="24"/>
                <w:highlight w:val="none"/>
              </w:rPr>
              <w:t>建设项目竣工环境保护验收技术规范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（1）《建设项目环境保护管理条例》（国务院令第682号），2017年10月1日；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（2）《建设项目竣工环境保护验收暂行办法》（国环规环评[2017]4号），2017年11月20日；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（3）《建设项目竣工环境保护验收技术指南 污染影响类》（生态环境部公告2018年第9号）；</w:t>
            </w:r>
          </w:p>
          <w:p>
            <w:pPr>
              <w:pageBreakBefore w:val="0"/>
              <w:kinsoku/>
              <w:wordWrap/>
              <w:overflowPunct/>
              <w:topLinePunct w:val="0"/>
              <w:autoSpaceDE/>
              <w:autoSpaceDN/>
              <w:bidi w:val="0"/>
              <w:adjustRightInd/>
              <w:snapToGrid/>
              <w:ind w:firstLine="0" w:firstLineChars="0"/>
              <w:textAlignment w:val="auto"/>
              <w:rPr>
                <w:rFonts w:hint="eastAsia"/>
                <w:b/>
                <w:bCs/>
                <w:color w:val="auto"/>
                <w:highlight w:val="none"/>
                <w:lang w:val="en-US" w:eastAsia="zh-CN"/>
              </w:rPr>
            </w:pPr>
            <w:r>
              <w:rPr>
                <w:rFonts w:hint="eastAsia"/>
                <w:b/>
                <w:bCs/>
                <w:color w:val="auto"/>
                <w:highlight w:val="none"/>
                <w:lang w:val="en-US" w:eastAsia="zh-CN"/>
              </w:rPr>
              <w:t>3、其他相关文件</w:t>
            </w:r>
          </w:p>
          <w:p>
            <w:pPr>
              <w:keepNext w:val="0"/>
              <w:keepLines w:val="0"/>
              <w:pageBreakBefore w:val="0"/>
              <w:widowControl w:val="0"/>
              <w:kinsoku/>
              <w:wordWrap/>
              <w:overflowPunct/>
              <w:topLinePunct w:val="0"/>
              <w:autoSpaceDE/>
              <w:autoSpaceDN/>
              <w:bidi w:val="0"/>
              <w:adjustRightInd/>
              <w:snapToGrid/>
              <w:ind w:left="0" w:leftChars="0" w:firstLine="480" w:firstLineChars="200"/>
              <w:jc w:val="left"/>
              <w:textAlignment w:val="auto"/>
              <w:rPr>
                <w:rFonts w:hint="default"/>
                <w:color w:val="auto"/>
                <w:highlight w:val="none"/>
                <w:lang w:val="en-US" w:eastAsia="zh-CN"/>
              </w:rPr>
            </w:pPr>
            <w:r>
              <w:rPr>
                <w:rFonts w:hint="eastAsia"/>
                <w:color w:val="auto"/>
                <w:highlight w:val="none"/>
                <w:lang w:val="en-US" w:eastAsia="zh-CN"/>
              </w:rPr>
              <w:t>（1）</w:t>
            </w:r>
            <w:r>
              <w:rPr>
                <w:rFonts w:hint="eastAsia"/>
                <w:b w:val="0"/>
                <w:bCs w:val="0"/>
                <w:color w:val="auto"/>
                <w:highlight w:val="none"/>
                <w:lang w:val="en-US" w:eastAsia="zh-CN"/>
              </w:rPr>
              <w:t>《合肥市工程技术学校学生宿舍楼建设项目初步设计》；</w:t>
            </w:r>
          </w:p>
          <w:p>
            <w:pPr>
              <w:pStyle w:val="11"/>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eastAsia"/>
                <w:b w:val="0"/>
                <w:bCs w:val="0"/>
                <w:color w:val="auto"/>
                <w:highlight w:val="none"/>
                <w:lang w:val="en-US" w:eastAsia="zh-CN"/>
              </w:rPr>
            </w:pPr>
            <w:r>
              <w:rPr>
                <w:rFonts w:hint="eastAsia"/>
                <w:b w:val="0"/>
                <w:bCs w:val="0"/>
                <w:color w:val="auto"/>
                <w:highlight w:val="none"/>
                <w:lang w:val="en-US" w:eastAsia="zh-CN"/>
              </w:rPr>
              <w:t>（2）合肥市发展和改革委员会《合肥市发展改革委关于合肥市工程技术学校学生宿舍楼建设项目初步设计的批复》合发改投资</w:t>
            </w:r>
            <w:r>
              <w:rPr>
                <w:rFonts w:hint="default"/>
                <w:b w:val="0"/>
                <w:bCs w:val="0"/>
                <w:color w:val="auto"/>
                <w:highlight w:val="none"/>
                <w:lang w:val="en-US" w:eastAsia="zh-CN"/>
              </w:rPr>
              <w:t>〔20</w:t>
            </w:r>
            <w:r>
              <w:rPr>
                <w:rFonts w:hint="eastAsia"/>
                <w:b w:val="0"/>
                <w:bCs w:val="0"/>
                <w:color w:val="auto"/>
                <w:highlight w:val="none"/>
                <w:lang w:val="en-US" w:eastAsia="zh-CN"/>
              </w:rPr>
              <w:t>21</w:t>
            </w:r>
            <w:r>
              <w:rPr>
                <w:rFonts w:hint="default"/>
                <w:b w:val="0"/>
                <w:bCs w:val="0"/>
                <w:color w:val="auto"/>
                <w:highlight w:val="none"/>
                <w:lang w:val="en-US" w:eastAsia="zh-CN"/>
              </w:rPr>
              <w:t>〕</w:t>
            </w:r>
            <w:r>
              <w:rPr>
                <w:rFonts w:hint="eastAsia"/>
                <w:b w:val="0"/>
                <w:bCs w:val="0"/>
                <w:color w:val="auto"/>
                <w:highlight w:val="none"/>
                <w:lang w:val="en-US" w:eastAsia="zh-CN"/>
              </w:rPr>
              <w:t>575号，2021年6月28日；</w:t>
            </w:r>
          </w:p>
          <w:p>
            <w:pPr>
              <w:pStyle w:val="11"/>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default"/>
                <w:b w:val="0"/>
                <w:bCs w:val="0"/>
                <w:color w:val="0000FF"/>
                <w:highlight w:val="none"/>
                <w:lang w:val="en-US" w:eastAsia="zh-CN"/>
              </w:rPr>
            </w:pPr>
            <w:r>
              <w:rPr>
                <w:rFonts w:hint="eastAsia"/>
                <w:b w:val="0"/>
                <w:bCs w:val="0"/>
                <w:color w:val="auto"/>
                <w:highlight w:val="none"/>
                <w:lang w:val="en-US" w:eastAsia="zh-CN"/>
              </w:rPr>
              <w:t>（3）《合肥市工程技术学校学生宿舍楼建设项目竣工环境保护验收检测报告》（合肥市工程技术学校-HFJC20240301095-合肥市工程技术学校学生宿舍</w:t>
            </w:r>
            <w:r>
              <w:rPr>
                <w:rFonts w:hint="eastAsia"/>
                <w:color w:val="auto"/>
                <w:highlight w:val="none"/>
                <w:lang w:val="en-US" w:eastAsia="zh-CN"/>
              </w:rPr>
              <w:t>楼建设项目</w:t>
            </w:r>
            <w:r>
              <w:rPr>
                <w:rFonts w:hint="eastAsia"/>
                <w:b w:val="0"/>
                <w:bCs w:val="0"/>
                <w:color w:val="auto"/>
                <w:highlight w:val="none"/>
                <w:lang w:val="en-US" w:eastAsia="zh-CN"/>
              </w:rPr>
              <w:t>验收）；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（4）</w:t>
            </w:r>
            <w:r>
              <w:rPr>
                <w:rFonts w:hint="eastAsia"/>
                <w:b w:val="0"/>
                <w:bCs w:val="0"/>
                <w:color w:val="auto"/>
                <w:highlight w:val="none"/>
                <w:lang w:val="en-US" w:eastAsia="zh-CN"/>
              </w:rPr>
              <w:t>合肥市工程技术学校</w:t>
            </w:r>
            <w:r>
              <w:rPr>
                <w:rFonts w:hint="eastAsia"/>
                <w:color w:val="auto"/>
                <w:highlight w:val="none"/>
                <w:lang w:val="en-US" w:eastAsia="zh-CN"/>
              </w:rPr>
              <w:t>提供的其他资料。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1" w:hRule="atLeast"/>
          <w:jc w:val="center"/>
        </w:trPr>
        <w:tc>
          <w:tcPr>
            <w:tcW w:w="197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green"/>
                <w:lang w:val="en-US" w:eastAsia="zh-CN"/>
              </w:rPr>
            </w:pPr>
            <w:r>
              <w:rPr>
                <w:rFonts w:hint="eastAsia"/>
                <w:color w:val="auto"/>
                <w:highlight w:val="none"/>
                <w:vertAlign w:val="baseline"/>
                <w:lang w:val="en-US" w:eastAsia="zh-CN"/>
              </w:rPr>
              <w:t>验收监测评价标准、标号、级别、限值</w:t>
            </w:r>
          </w:p>
        </w:tc>
        <w:tc>
          <w:tcPr>
            <w:tcW w:w="7026" w:type="dxa"/>
            <w:gridSpan w:val="5"/>
            <w:vAlign w:val="top"/>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b/>
                <w:bCs/>
                <w:color w:val="auto"/>
                <w:lang w:val="en-US" w:eastAsia="zh-CN"/>
              </w:rPr>
            </w:pPr>
            <w:r>
              <w:rPr>
                <w:rFonts w:hint="eastAsia"/>
                <w:b/>
                <w:bCs/>
                <w:color w:val="auto"/>
                <w:lang w:val="en-US" w:eastAsia="zh-CN"/>
              </w:rPr>
              <w:t>1、废水</w:t>
            </w:r>
          </w:p>
          <w:p>
            <w:pPr>
              <w:bidi w:val="0"/>
              <w:rPr>
                <w:rFonts w:hint="default"/>
                <w:color w:val="auto"/>
                <w:lang w:val="en-US" w:eastAsia="zh-CN"/>
              </w:rPr>
            </w:pPr>
            <w:r>
              <w:rPr>
                <w:rFonts w:hint="eastAsia"/>
                <w:color w:val="auto"/>
                <w:lang w:val="en-US" w:eastAsia="zh-CN"/>
              </w:rPr>
              <w:t>本项目废水为生活污水，生活污水经化粪池预处理后，排入市政污水管网，污水排放标准执行《污水综合排放标准》（GB8978-1996）中三级标准。具体执行标准情况见下表1-1。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lang w:val="en-US" w:eastAsia="zh-CN"/>
              </w:rPr>
              <w:t>表1-1 废水排放执行标准（单位：mg/L）</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532"/>
              <w:gridCol w:w="3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shd w:val="clear" w:color="auto" w:fill="92D05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color w:val="auto"/>
                      <w:sz w:val="21"/>
                      <w:szCs w:val="21"/>
                      <w:vertAlign w:val="baseline"/>
                      <w:lang w:val="en-US" w:eastAsia="zh-CN"/>
                    </w:rPr>
                  </w:pPr>
                  <w:r>
                    <w:rPr>
                      <w:rFonts w:hint="eastAsia" w:ascii="Times New Roman" w:hAnsi="Times New Roman" w:eastAsia="宋体"/>
                      <w:b/>
                      <w:bCs/>
                      <w:color w:val="auto"/>
                      <w:sz w:val="21"/>
                      <w:szCs w:val="21"/>
                      <w:vertAlign w:val="baseline"/>
                      <w:lang w:val="en-US" w:eastAsia="zh-CN"/>
                    </w:rPr>
                    <w:t>监测因子</w:t>
                  </w:r>
                </w:p>
              </w:tc>
              <w:tc>
                <w:tcPr>
                  <w:tcW w:w="1532" w:type="dxa"/>
                  <w:shd w:val="clear" w:color="auto" w:fill="92D05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color w:val="auto"/>
                      <w:sz w:val="21"/>
                      <w:szCs w:val="21"/>
                      <w:vertAlign w:val="baseline"/>
                      <w:lang w:val="en-US" w:eastAsia="zh-CN"/>
                    </w:rPr>
                  </w:pPr>
                  <w:r>
                    <w:rPr>
                      <w:rFonts w:hint="eastAsia" w:ascii="Times New Roman" w:hAnsi="Times New Roman" w:eastAsia="宋体"/>
                      <w:b/>
                      <w:bCs/>
                      <w:color w:val="auto"/>
                      <w:sz w:val="21"/>
                      <w:szCs w:val="21"/>
                      <w:vertAlign w:val="baseline"/>
                      <w:lang w:val="en-US" w:eastAsia="zh-CN"/>
                    </w:rPr>
                    <w:t>标准限值</w:t>
                  </w:r>
                </w:p>
              </w:tc>
              <w:tc>
                <w:tcPr>
                  <w:tcW w:w="3359" w:type="dxa"/>
                  <w:shd w:val="clear" w:color="auto" w:fill="92D05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color w:val="auto"/>
                      <w:sz w:val="21"/>
                      <w:szCs w:val="21"/>
                      <w:vertAlign w:val="baseline"/>
                      <w:lang w:val="en-US" w:eastAsia="zh-CN"/>
                    </w:rPr>
                  </w:pPr>
                  <w:r>
                    <w:rPr>
                      <w:rFonts w:hint="eastAsia" w:ascii="Times New Roman" w:hAnsi="Times New Roman" w:eastAsia="宋体"/>
                      <w:b/>
                      <w:bCs/>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pH（无量纲）</w:t>
                  </w:r>
                </w:p>
              </w:tc>
              <w:tc>
                <w:tcPr>
                  <w:tcW w:w="15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6~9</w:t>
                  </w:r>
                </w:p>
              </w:tc>
              <w:tc>
                <w:tcPr>
                  <w:tcW w:w="3359"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《污水综合排放标准》（GB8978-1996）三级标准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悬浮物</w:t>
                  </w:r>
                </w:p>
              </w:tc>
              <w:tc>
                <w:tcPr>
                  <w:tcW w:w="15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auto"/>
                      <w:sz w:val="21"/>
                      <w:szCs w:val="21"/>
                      <w:vertAlign w:val="baseline"/>
                      <w:lang w:val="en-US" w:eastAsia="zh-CN"/>
                    </w:rPr>
                  </w:pPr>
                  <w:r>
                    <w:rPr>
                      <w:rFonts w:hint="eastAsia"/>
                      <w:color w:val="auto"/>
                      <w:sz w:val="21"/>
                      <w:szCs w:val="21"/>
                      <w:vertAlign w:val="baseline"/>
                      <w:lang w:val="en-US" w:eastAsia="zh-CN"/>
                    </w:rPr>
                    <w:t>400</w:t>
                  </w:r>
                </w:p>
              </w:tc>
              <w:tc>
                <w:tcPr>
                  <w:tcW w:w="3359"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化学需氧量</w:t>
                  </w:r>
                </w:p>
              </w:tc>
              <w:tc>
                <w:tcPr>
                  <w:tcW w:w="15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auto"/>
                      <w:sz w:val="21"/>
                      <w:szCs w:val="21"/>
                      <w:vertAlign w:val="baseline"/>
                      <w:lang w:val="en-US" w:eastAsia="zh-CN"/>
                    </w:rPr>
                  </w:pPr>
                  <w:r>
                    <w:rPr>
                      <w:rFonts w:hint="eastAsia"/>
                      <w:color w:val="auto"/>
                      <w:sz w:val="21"/>
                      <w:szCs w:val="21"/>
                      <w:vertAlign w:val="baseline"/>
                      <w:lang w:val="en-US" w:eastAsia="zh-CN"/>
                    </w:rPr>
                    <w:t>500</w:t>
                  </w:r>
                </w:p>
              </w:tc>
              <w:tc>
                <w:tcPr>
                  <w:tcW w:w="3359"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五日生化需氧量</w:t>
                  </w:r>
                </w:p>
              </w:tc>
              <w:tc>
                <w:tcPr>
                  <w:tcW w:w="15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300</w:t>
                  </w:r>
                </w:p>
              </w:tc>
              <w:tc>
                <w:tcPr>
                  <w:tcW w:w="3359"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r>
                    <w:rPr>
                      <w:rFonts w:hint="eastAsia" w:ascii="Times New Roman" w:hAnsi="Times New Roman" w:eastAsia="宋体"/>
                      <w:color w:val="auto"/>
                      <w:sz w:val="21"/>
                      <w:szCs w:val="21"/>
                      <w:vertAlign w:val="baseline"/>
                      <w:lang w:val="en-US" w:eastAsia="zh-CN"/>
                    </w:rPr>
                    <w:t>氨氮</w:t>
                  </w:r>
                </w:p>
              </w:tc>
              <w:tc>
                <w:tcPr>
                  <w:tcW w:w="15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auto"/>
                      <w:sz w:val="21"/>
                      <w:szCs w:val="21"/>
                      <w:vertAlign w:val="baseline"/>
                      <w:lang w:val="en-US" w:eastAsia="zh-CN"/>
                    </w:rPr>
                  </w:pPr>
                  <w:r>
                    <w:rPr>
                      <w:rFonts w:hint="eastAsia"/>
                      <w:color w:val="auto"/>
                      <w:sz w:val="21"/>
                      <w:szCs w:val="21"/>
                      <w:vertAlign w:val="baseline"/>
                      <w:lang w:val="en-US" w:eastAsia="zh-CN"/>
                    </w:rPr>
                    <w:t>/</w:t>
                  </w:r>
                </w:p>
              </w:tc>
              <w:tc>
                <w:tcPr>
                  <w:tcW w:w="3359"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olor w:val="auto"/>
                      <w:sz w:val="21"/>
                      <w:szCs w:val="21"/>
                      <w:vertAlign w:val="baseline"/>
                      <w:lang w:val="en-US" w:eastAsia="zh-CN"/>
                    </w:rPr>
                  </w:pPr>
                </w:p>
              </w:tc>
            </w:tr>
          </w:tbl>
          <w:p>
            <w:pPr>
              <w:pStyle w:val="4"/>
              <w:pageBreakBefore w:val="0"/>
              <w:kinsoku/>
              <w:wordWrap/>
              <w:overflowPunct/>
              <w:topLinePunct w:val="0"/>
              <w:autoSpaceDE/>
              <w:autoSpaceDN/>
              <w:bidi w:val="0"/>
              <w:adjustRightInd/>
              <w:snapToGrid/>
              <w:ind w:firstLine="0" w:firstLineChars="0"/>
              <w:textAlignment w:val="auto"/>
              <w:rPr>
                <w:rFonts w:hint="eastAsia"/>
                <w:b/>
                <w:bCs/>
                <w:color w:val="auto"/>
                <w:lang w:val="en-US" w:eastAsia="zh-CN"/>
              </w:rPr>
            </w:pPr>
            <w:r>
              <w:rPr>
                <w:rFonts w:hint="eastAsia"/>
                <w:b/>
                <w:bCs/>
                <w:color w:val="auto"/>
                <w:lang w:val="en-US" w:eastAsia="zh-CN"/>
              </w:rPr>
              <w:t>2、噪声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olor w:val="auto"/>
                <w:lang w:val="en-US" w:eastAsia="zh-CN"/>
              </w:rPr>
            </w:pPr>
            <w:r>
              <w:rPr>
                <w:rFonts w:hint="eastAsia"/>
                <w:color w:val="auto"/>
                <w:lang w:eastAsia="zh-CN"/>
              </w:rPr>
              <w:t>项目运营期厂界噪声执行《工业企业厂界环境噪声排放标准》（GB12348-2008）</w:t>
            </w:r>
            <w:r>
              <w:rPr>
                <w:rFonts w:hint="eastAsia"/>
                <w:color w:val="auto"/>
                <w:lang w:val="en-US" w:eastAsia="zh-CN"/>
              </w:rPr>
              <w:t>2</w:t>
            </w:r>
            <w:r>
              <w:rPr>
                <w:rFonts w:hint="eastAsia"/>
                <w:color w:val="auto"/>
                <w:lang w:eastAsia="zh-CN"/>
              </w:rPr>
              <w:t>类区标准</w:t>
            </w:r>
            <w:r>
              <w:rPr>
                <w:rFonts w:hint="eastAsia"/>
                <w:color w:val="auto"/>
                <w:lang w:val="en-US" w:eastAsia="zh-CN"/>
              </w:rPr>
              <w:t>。具体见表1-2；</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表1-2 噪声排放限值</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005"/>
              <w:gridCol w:w="1005"/>
              <w:gridCol w:w="3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2" w:type="dxa"/>
                  <w:shd w:val="clear" w:color="auto" w:fill="92D050"/>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b/>
                      <w:bCs/>
                      <w:color w:val="auto"/>
                      <w:lang w:val="en-US" w:eastAsia="zh-CN"/>
                    </w:rPr>
                  </w:pPr>
                  <w:r>
                    <w:rPr>
                      <w:rFonts w:hint="eastAsia"/>
                      <w:b/>
                      <w:bCs/>
                      <w:color w:val="auto"/>
                      <w:lang w:val="en-US" w:eastAsia="zh-CN"/>
                    </w:rPr>
                    <w:t>类别</w:t>
                  </w:r>
                </w:p>
              </w:tc>
              <w:tc>
                <w:tcPr>
                  <w:tcW w:w="2010" w:type="dxa"/>
                  <w:gridSpan w:val="2"/>
                  <w:shd w:val="clear" w:color="auto" w:fill="92D050"/>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b/>
                      <w:bCs/>
                      <w:color w:val="auto"/>
                      <w:lang w:val="en-US" w:eastAsia="zh-CN"/>
                    </w:rPr>
                  </w:pPr>
                  <w:r>
                    <w:rPr>
                      <w:rFonts w:hint="eastAsia"/>
                      <w:b/>
                      <w:bCs/>
                      <w:color w:val="auto"/>
                      <w:lang w:val="en-US" w:eastAsia="zh-CN"/>
                    </w:rPr>
                    <w:t>限值 [dB（A）]</w:t>
                  </w:r>
                </w:p>
              </w:tc>
              <w:tc>
                <w:tcPr>
                  <w:tcW w:w="3668" w:type="dxa"/>
                  <w:shd w:val="clear" w:color="auto" w:fill="92D050"/>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b/>
                      <w:bCs/>
                      <w:color w:val="auto"/>
                      <w:lang w:val="en-US" w:eastAsia="zh-CN"/>
                    </w:rPr>
                  </w:pPr>
                  <w:r>
                    <w:rPr>
                      <w:rFonts w:hint="eastAsia"/>
                      <w:b/>
                      <w:bCs/>
                      <w:color w:val="auto"/>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2" w:type="dxa"/>
                  <w:vMerge w:val="restart"/>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color w:val="auto"/>
                      <w:lang w:val="en-US" w:eastAsia="zh-CN"/>
                    </w:rPr>
                    <w:t>厂界噪声</w:t>
                  </w:r>
                </w:p>
              </w:tc>
              <w:tc>
                <w:tcPr>
                  <w:tcW w:w="1005" w:type="dxa"/>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color w:val="auto"/>
                      <w:lang w:val="en-US" w:eastAsia="zh-CN"/>
                    </w:rPr>
                    <w:t>昼间</w:t>
                  </w:r>
                </w:p>
              </w:tc>
              <w:tc>
                <w:tcPr>
                  <w:tcW w:w="1005" w:type="dxa"/>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color w:val="auto"/>
                      <w:lang w:val="en-US" w:eastAsia="zh-CN"/>
                    </w:rPr>
                    <w:t>夜间</w:t>
                  </w:r>
                </w:p>
              </w:tc>
              <w:tc>
                <w:tcPr>
                  <w:tcW w:w="3668" w:type="dxa"/>
                  <w:vMerge w:val="restart"/>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eastAsia"/>
                      <w:color w:val="auto"/>
                      <w:lang w:val="en-US" w:eastAsia="zh-CN"/>
                    </w:rPr>
                    <w:t>《工业企业厂界环境噪声排放标准》（GB12348-2008）中2类区标准限值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2" w:type="dxa"/>
                  <w:vMerge w:val="continue"/>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color w:val="auto"/>
                      <w:lang w:val="en-US" w:eastAsia="zh-CN"/>
                    </w:rPr>
                  </w:pPr>
                </w:p>
              </w:tc>
              <w:tc>
                <w:tcPr>
                  <w:tcW w:w="1005" w:type="dxa"/>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eastAsia"/>
                      <w:color w:val="auto"/>
                      <w:lang w:val="en-US" w:eastAsia="zh-CN"/>
                    </w:rPr>
                    <w:t>60</w:t>
                  </w:r>
                </w:p>
              </w:tc>
              <w:tc>
                <w:tcPr>
                  <w:tcW w:w="1005" w:type="dxa"/>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eastAsia"/>
                      <w:color w:val="auto"/>
                      <w:lang w:val="en-US" w:eastAsia="zh-CN"/>
                    </w:rPr>
                    <w:t>50</w:t>
                  </w:r>
                </w:p>
              </w:tc>
              <w:tc>
                <w:tcPr>
                  <w:tcW w:w="3668" w:type="dxa"/>
                  <w:vMerge w:val="continue"/>
                  <w:vAlign w:val="center"/>
                </w:tcPr>
                <w:p>
                  <w:pPr>
                    <w:pStyle w:val="2"/>
                    <w:keepNext/>
                    <w:keepLines/>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color w:val="auto"/>
                      <w:lang w:val="en-US" w:eastAsia="zh-CN"/>
                    </w:rPr>
                  </w:pPr>
                </w:p>
              </w:tc>
            </w:tr>
          </w:tbl>
          <w:p>
            <w:pPr>
              <w:pageBreakBefore w:val="0"/>
              <w:kinsoku/>
              <w:wordWrap/>
              <w:overflowPunct/>
              <w:topLinePunct w:val="0"/>
              <w:autoSpaceDE/>
              <w:autoSpaceDN/>
              <w:bidi w:val="0"/>
              <w:adjustRightInd/>
              <w:snapToGrid/>
              <w:ind w:firstLine="0" w:firstLineChars="0"/>
              <w:textAlignment w:val="auto"/>
              <w:rPr>
                <w:rFonts w:hint="eastAsia"/>
                <w:b/>
                <w:bCs/>
                <w:color w:val="auto"/>
                <w:lang w:val="en-US" w:eastAsia="zh-CN"/>
              </w:rPr>
            </w:pPr>
            <w:r>
              <w:rPr>
                <w:rFonts w:hint="eastAsia"/>
                <w:b/>
                <w:bCs/>
                <w:color w:val="auto"/>
                <w:lang w:val="en-US" w:eastAsia="zh-CN"/>
              </w:rPr>
              <w:t>3、固体废弃物</w:t>
            </w:r>
          </w:p>
          <w:p>
            <w:pPr>
              <w:pStyle w:val="4"/>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rPr>
              <w:t>本项目一般固体废物污染控制执行《安徽省实施&lt;中华人民共和国固体废物污染环境防治法&gt;办法》（省人大常委会公告第四十六号）有关规定。</w:t>
            </w:r>
          </w:p>
        </w:tc>
      </w:tr>
    </w:tbl>
    <w:p>
      <w:pPr>
        <w:rPr>
          <w:rFonts w:hint="eastAsia"/>
          <w:b/>
          <w:bCs/>
          <w:color w:val="auto"/>
          <w:highlight w:val="green"/>
          <w:lang w:val="en-US" w:eastAsia="zh-CN"/>
        </w:rPr>
      </w:pPr>
    </w:p>
    <w:p>
      <w:pPr>
        <w:rPr>
          <w:rFonts w:hint="eastAsia"/>
          <w:b/>
          <w:bCs/>
          <w:color w:val="auto"/>
          <w:highlight w:val="green"/>
          <w:lang w:val="en-US" w:eastAsia="zh-CN"/>
        </w:rPr>
        <w:sectPr>
          <w:headerReference r:id="rId9" w:type="default"/>
          <w:footerReference r:id="rId10" w:type="default"/>
          <w:pgSz w:w="11906" w:h="16838"/>
          <w:pgMar w:top="1417" w:right="1417" w:bottom="1417" w:left="1701" w:header="851" w:footer="992" w:gutter="0"/>
          <w:pgBorders>
            <w:top w:val="none" w:sz="0" w:space="0"/>
            <w:left w:val="none" w:sz="0" w:space="0"/>
            <w:bottom w:val="none" w:sz="0" w:space="0"/>
            <w:right w:val="none" w:sz="0" w:space="0"/>
          </w:pgBorders>
          <w:pgNumType w:fmt="decimal" w:start="1"/>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表二：建设项目基本情况</w:t>
      </w:r>
    </w:p>
    <w:tbl>
      <w:tblPr>
        <w:tblStyle w:val="1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42" w:hRule="atLeast"/>
          <w:jc w:val="center"/>
        </w:trPr>
        <w:tc>
          <w:tcPr>
            <w:tcW w:w="9768" w:type="dxa"/>
            <w:vAlign w:val="top"/>
          </w:tcPr>
          <w:p>
            <w:pPr>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工程建设内容：</w:t>
            </w:r>
          </w:p>
          <w:p>
            <w:pPr>
              <w:pStyle w:val="4"/>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1、项目概况</w:t>
            </w:r>
          </w:p>
          <w:p>
            <w:pPr>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合肥市工程技术学校学生宿舍楼建设项目位于巢湖市半汤路15号，合肥市工程技术学校校园东北部。项目总用地面积4769平方米，总建筑面积11840平方米，其中地上建筑面积9390平方米，地下建筑面积2450平方米，主要建设一栋6层（北侧为4层、南侧为6层），地下1层的C字型宿舍楼。项目设计使用年限50年，结构安全等级二级，抗震设防烈度7度，设计住宿人数900人。</w:t>
            </w:r>
          </w:p>
          <w:p>
            <w:pPr>
              <w:ind w:firstLine="480" w:firstLineChars="20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color w:val="auto"/>
                <w:highlight w:val="none"/>
                <w:lang w:val="en-US" w:eastAsia="zh-CN"/>
              </w:rPr>
              <w:t>项目主要建设内容包括宿舍楼单体建筑的土建装饰、结构、给排水、电气、智能化、暖通、消防、室外工程及其他附属工程。</w:t>
            </w:r>
            <w:r>
              <w:rPr>
                <w:rFonts w:hint="default" w:ascii="Times New Roman" w:hAnsi="Times New Roman" w:eastAsia="宋体" w:cs="Times New Roman"/>
                <w:color w:val="auto"/>
                <w:highlight w:val="none"/>
              </w:rPr>
              <w:t>项目</w:t>
            </w:r>
            <w:r>
              <w:rPr>
                <w:rFonts w:hint="default" w:ascii="Times New Roman" w:hAnsi="Times New Roman" w:eastAsia="宋体" w:cs="Times New Roman"/>
                <w:color w:val="auto"/>
                <w:highlight w:val="none"/>
                <w:lang w:val="en-US" w:eastAsia="zh-CN"/>
              </w:rPr>
              <w:t>实际</w:t>
            </w:r>
            <w:r>
              <w:rPr>
                <w:rFonts w:hint="default" w:ascii="Times New Roman" w:hAnsi="Times New Roman" w:eastAsia="宋体" w:cs="Times New Roman"/>
                <w:color w:val="auto"/>
                <w:highlight w:val="none"/>
              </w:rPr>
              <w:t>总投资</w:t>
            </w:r>
            <w:r>
              <w:rPr>
                <w:rFonts w:hint="default" w:ascii="Times New Roman" w:hAnsi="Times New Roman" w:eastAsia="宋体" w:cs="Times New Roman"/>
                <w:color w:val="auto"/>
                <w:highlight w:val="none"/>
                <w:lang w:val="en-US" w:eastAsia="zh-CN"/>
              </w:rPr>
              <w:t>4430</w:t>
            </w:r>
            <w:r>
              <w:rPr>
                <w:rFonts w:hint="default" w:ascii="Times New Roman" w:hAnsi="Times New Roman" w:eastAsia="宋体" w:cs="Times New Roman"/>
                <w:color w:val="auto"/>
                <w:highlight w:val="none"/>
              </w:rPr>
              <w:t>万元，环保投资额</w:t>
            </w:r>
            <w:r>
              <w:rPr>
                <w:rFonts w:hint="default" w:ascii="Times New Roman" w:hAnsi="Times New Roman" w:eastAsia="宋体" w:cs="Times New Roman"/>
                <w:color w:val="auto"/>
                <w:highlight w:val="none"/>
                <w:lang w:val="en-US" w:eastAsia="zh-CN"/>
              </w:rPr>
              <w:t>75万</w:t>
            </w:r>
            <w:r>
              <w:rPr>
                <w:rFonts w:hint="default" w:ascii="Times New Roman" w:hAnsi="Times New Roman" w:eastAsia="宋体" w:cs="Times New Roman"/>
                <w:color w:val="auto"/>
                <w:highlight w:val="none"/>
              </w:rPr>
              <w:t>元，环保投资占工程总投资的</w:t>
            </w:r>
            <w:r>
              <w:rPr>
                <w:rFonts w:hint="default" w:ascii="Times New Roman" w:hAnsi="Times New Roman" w:eastAsia="宋体" w:cs="Times New Roman"/>
                <w:color w:val="auto"/>
                <w:highlight w:val="none"/>
                <w:lang w:val="en-US" w:eastAsia="zh-CN"/>
              </w:rPr>
              <w:t>1.7</w:t>
            </w:r>
            <w:r>
              <w:rPr>
                <w:rFonts w:hint="default" w:ascii="Times New Roman" w:hAnsi="Times New Roman" w:eastAsia="宋体" w:cs="Times New Roman"/>
                <w:color w:val="auto"/>
                <w:highlight w:val="none"/>
              </w:rPr>
              <w:t>%。</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2、项目建设过程</w:t>
            </w:r>
          </w:p>
          <w:p>
            <w:pPr>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项目于2021年4月28日，取得了合肥市发展改革委关于合肥市工程技术学校学生宿舍楼建设项目立项的批复，合发改社会[2021]380号）；</w:t>
            </w:r>
          </w:p>
          <w:p>
            <w:pPr>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2021年6月28日取得合肥市发展和改革委员会</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highlight w:val="none"/>
                <w:lang w:val="en-US" w:eastAsia="zh-CN"/>
              </w:rPr>
              <w:t>合肥市发展改革委关于合肥市工程技术学校学生宿舍楼建设项目初步设计的批复》合发改投资〔2021〕575号；</w:t>
            </w:r>
          </w:p>
          <w:p>
            <w:pPr>
              <w:pStyle w:val="4"/>
              <w:ind w:firstLine="480" w:firstLineChars="200"/>
              <w:rPr>
                <w:rFonts w:hint="default" w:ascii="Times New Roman" w:hAnsi="Times New Roman" w:eastAsia="宋体" w:cs="Times New Roman"/>
                <w:color w:val="auto"/>
                <w:highlight w:val="none"/>
                <w:u w:val="none" w:color="auto"/>
                <w:lang w:val="en-US" w:eastAsia="zh-CN"/>
              </w:rPr>
            </w:pPr>
            <w:r>
              <w:rPr>
                <w:rFonts w:hint="default" w:ascii="Times New Roman" w:hAnsi="Times New Roman" w:eastAsia="宋体" w:cs="Times New Roman"/>
                <w:color w:val="auto"/>
                <w:highlight w:val="none"/>
                <w:u w:val="none" w:color="auto"/>
                <w:lang w:val="en-US" w:eastAsia="zh-CN"/>
              </w:rPr>
              <w:t>根据环境影响评价分类管理名录要求，本项目不涉及新建涉及环境敏感区的，有化学、生物实验室的学校。故此本项无需做环评文本。</w:t>
            </w:r>
          </w:p>
          <w:p>
            <w:pPr>
              <w:pStyle w:val="4"/>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2024年3月6日~2024年3月7日合肥市工程技术学校委托安徽海峰分析测试科技有限公司对合肥市工程技术学校学生宿舍楼建设项目</w:t>
            </w:r>
            <w:r>
              <w:rPr>
                <w:rFonts w:hint="default" w:ascii="Times New Roman" w:hAnsi="Times New Roman" w:eastAsia="宋体" w:cs="Times New Roman"/>
                <w:color w:val="auto"/>
                <w:highlight w:val="none"/>
                <w:lang w:eastAsia="zh-CN"/>
              </w:rPr>
              <w:t>进行</w:t>
            </w:r>
            <w:r>
              <w:rPr>
                <w:rFonts w:hint="default" w:ascii="Times New Roman" w:hAnsi="Times New Roman" w:eastAsia="宋体" w:cs="Times New Roman"/>
                <w:color w:val="auto"/>
                <w:highlight w:val="none"/>
                <w:lang w:val="en-US" w:eastAsia="zh-CN"/>
              </w:rPr>
              <w:t>竣工环境保护验收监测。</w:t>
            </w:r>
          </w:p>
          <w:p>
            <w:pPr>
              <w:pStyle w:val="3"/>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3、位置及布局</w:t>
            </w:r>
          </w:p>
          <w:p>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位于巢湖市半汤路15号合肥市工程技术学校校园东北部，中心经度为117.883209°，纬度为31.618662°。根据现场勘查，地块南北长80米，东西长60米，项目所在地东侧为红石板路，隔路为巢湖市东风小学；项目项目所在地块南侧为教职工家属区；项目西侧为现状体育场东侧；项目北侧为周边村民自建房。项目厂区周围500m范围内无文物保护、饮用水源地等环境敏感点。项目地理位置图详见附图1，项目平面布置图详见附图2。</w:t>
            </w:r>
          </w:p>
          <w:p>
            <w:pPr>
              <w:pStyle w:val="4"/>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4、建设内容</w:t>
            </w:r>
          </w:p>
          <w:p>
            <w:pPr>
              <w:pStyle w:val="3"/>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项目建设内容组成一览表见表2-1；主要经济技术指标一览表见表2-2；</w:t>
            </w:r>
          </w:p>
          <w:p>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表2-1 项目建设内容组成一览表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618"/>
              <w:gridCol w:w="6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18"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工程类别</w:t>
                  </w:r>
                </w:p>
              </w:tc>
              <w:tc>
                <w:tcPr>
                  <w:tcW w:w="1618"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工程名称</w:t>
                  </w:r>
                </w:p>
              </w:tc>
              <w:tc>
                <w:tcPr>
                  <w:tcW w:w="6409"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主体工程</w:t>
                  </w:r>
                </w:p>
              </w:tc>
              <w:tc>
                <w:tcPr>
                  <w:tcW w:w="1618" w:type="dxa"/>
                  <w:noWrap w:val="0"/>
                  <w:vAlign w:val="center"/>
                </w:tcPr>
                <w:p>
                  <w:pPr>
                    <w:pStyle w:val="1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宿舍楼</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设置一栋C字型宿舍楼，设置于校区东北部，总建筑面积</w:t>
                  </w:r>
                  <w:r>
                    <w:rPr>
                      <w:rFonts w:hint="default" w:ascii="Times New Roman" w:hAnsi="Times New Roman" w:eastAsia="宋体" w:cs="Times New Roman"/>
                      <w:sz w:val="21"/>
                      <w:szCs w:val="21"/>
                      <w:highlight w:val="none"/>
                      <w:lang w:val="en-US" w:eastAsia="zh-CN"/>
                    </w:rPr>
                    <w:t>11840平方米，其中地上建筑面积9390平方米，地下建筑面积2450平方米；为地上6层（北侧为4层、南侧为6层），地下1层的C字型宿舍楼。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辅助工程</w:t>
                  </w:r>
                </w:p>
              </w:tc>
              <w:tc>
                <w:tcPr>
                  <w:tcW w:w="1618" w:type="dxa"/>
                  <w:noWrap w:val="0"/>
                  <w:vAlign w:val="center"/>
                </w:tcPr>
                <w:p>
                  <w:pPr>
                    <w:pStyle w:val="1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配电房</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项目在地下室设置一座10KV配电房，变电所内设1台1250kVA变电器+1台400kVA变电器。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泵房</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分别设置生活泵房和消防泵房，总建筑面积170平方米。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公用工程</w:t>
                  </w: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供水</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由市政给水管网提供自来水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排水</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项目室内设污、废水合流制，室外设雨、污水分流制，室内污废水采用重力流排出，地下室设置集水坑及专用排污泵排水，生活污水经化粪池处理后，排入校区体育馆附近污水井。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消防系统</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严格遵守国家相关防火设计规范，并设置消防水池、消防栓、室内消防设施等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sz w:val="21"/>
                      <w:szCs w:val="21"/>
                      <w:lang w:val="zh-CN"/>
                    </w:rPr>
                    <w:t>供冷、供暖系统</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项目供冷、供暖均采用自建空调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供电</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由市政供电电网提供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停车设施</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共设置地下机动车停车位63个，非机动车停车位450个。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环保工程</w:t>
                  </w: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废气</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仅为地下车库汽车尾气，设置排气设备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废水</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建设化粪池以及配套污水收集管网等。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噪声</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沿地块边线设置绿化带；水泵房置于地下，并对各类水泵采取底座减震；配电房设在</w:t>
                  </w:r>
                  <w:r>
                    <w:rPr>
                      <w:rFonts w:hint="default" w:ascii="Times New Roman" w:hAnsi="Times New Roman" w:eastAsia="宋体" w:cs="Times New Roman"/>
                      <w:b w:val="0"/>
                      <w:color w:val="auto"/>
                      <w:sz w:val="21"/>
                      <w:szCs w:val="21"/>
                      <w:highlight w:val="none"/>
                      <w:lang w:val="en-US" w:eastAsia="zh-CN"/>
                    </w:rPr>
                    <w:t>地下</w:t>
                  </w:r>
                  <w:r>
                    <w:rPr>
                      <w:rFonts w:hint="default" w:ascii="Times New Roman" w:hAnsi="Times New Roman" w:eastAsia="宋体" w:cs="Times New Roman"/>
                      <w:b w:val="0"/>
                      <w:color w:val="auto"/>
                      <w:sz w:val="21"/>
                      <w:szCs w:val="21"/>
                      <w:highlight w:val="none"/>
                    </w:rPr>
                    <w:t>专用</w:t>
                  </w:r>
                  <w:r>
                    <w:rPr>
                      <w:rFonts w:hint="default" w:ascii="Times New Roman" w:hAnsi="Times New Roman" w:eastAsia="宋体" w:cs="Times New Roman"/>
                      <w:b w:val="0"/>
                      <w:color w:val="auto"/>
                      <w:sz w:val="21"/>
                      <w:szCs w:val="21"/>
                      <w:highlight w:val="none"/>
                      <w:lang w:val="en-US" w:eastAsia="zh-CN"/>
                    </w:rPr>
                    <w:t>配电</w:t>
                  </w:r>
                  <w:r>
                    <w:rPr>
                      <w:rFonts w:hint="default" w:ascii="Times New Roman" w:hAnsi="Times New Roman" w:eastAsia="宋体" w:cs="Times New Roman"/>
                      <w:b w:val="0"/>
                      <w:color w:val="auto"/>
                      <w:sz w:val="21"/>
                      <w:szCs w:val="21"/>
                      <w:highlight w:val="none"/>
                    </w:rPr>
                    <w:t>房中，并安装隔声屏障；窗户安装双层中空玻璃。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固废</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vertAlign w:val="baseline"/>
                      <w:lang w:val="en-US"/>
                    </w:rPr>
                  </w:pPr>
                  <w:r>
                    <w:rPr>
                      <w:rFonts w:hint="default" w:ascii="Times New Roman" w:hAnsi="Times New Roman" w:eastAsia="宋体" w:cs="Times New Roman"/>
                      <w:b w:val="0"/>
                      <w:color w:val="auto"/>
                      <w:sz w:val="21"/>
                      <w:szCs w:val="21"/>
                      <w:highlight w:val="none"/>
                      <w:vertAlign w:val="baseline"/>
                      <w:lang w:val="en-US"/>
                    </w:rPr>
                    <w:t>生活垃圾由环卫部门处理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6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eastAsia="宋体" w:cs="Times New Roman"/>
                      <w:b w:val="0"/>
                      <w:color w:val="auto"/>
                      <w:sz w:val="21"/>
                      <w:szCs w:val="21"/>
                      <w:lang w:val="en-US" w:eastAsia="zh-CN"/>
                    </w:rPr>
                    <w:t>生态保护</w:t>
                  </w:r>
                </w:p>
              </w:tc>
              <w:tc>
                <w:tcPr>
                  <w:tcW w:w="64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vertAlign w:val="baseline"/>
                      <w:lang w:val="en-US"/>
                    </w:rPr>
                  </w:pPr>
                  <w:r>
                    <w:rPr>
                      <w:rFonts w:hint="default" w:ascii="Times New Roman" w:hAnsi="Times New Roman" w:eastAsia="宋体" w:cs="Times New Roman"/>
                      <w:b w:val="0"/>
                      <w:color w:val="auto"/>
                      <w:sz w:val="21"/>
                      <w:szCs w:val="21"/>
                      <w:highlight w:val="none"/>
                      <w:vertAlign w:val="baseline"/>
                      <w:lang w:val="en-US"/>
                    </w:rPr>
                    <w:t>绿地建设，景观改善等，项目</w:t>
                  </w:r>
                  <w:r>
                    <w:rPr>
                      <w:rFonts w:hint="default" w:ascii="Times New Roman" w:hAnsi="Times New Roman" w:eastAsia="宋体" w:cs="Times New Roman"/>
                      <w:b w:val="0"/>
                      <w:color w:val="auto"/>
                      <w:sz w:val="21"/>
                      <w:szCs w:val="21"/>
                      <w:highlight w:val="none"/>
                      <w:vertAlign w:val="baseline"/>
                      <w:lang w:val="en-US" w:eastAsia="zh-CN"/>
                    </w:rPr>
                    <w:t>绿化面积约为1187平方米</w:t>
                  </w:r>
                  <w:r>
                    <w:rPr>
                      <w:rFonts w:hint="default" w:ascii="Times New Roman" w:hAnsi="Times New Roman" w:eastAsia="宋体" w:cs="Times New Roman"/>
                      <w:b w:val="0"/>
                      <w:color w:val="auto"/>
                      <w:sz w:val="21"/>
                      <w:szCs w:val="21"/>
                      <w:highlight w:val="none"/>
                      <w:vertAlign w:val="baseline"/>
                      <w:lang w:val="en-US"/>
                    </w:rPr>
                    <w:t>。</w:t>
                  </w:r>
                </w:p>
              </w:tc>
            </w:tr>
          </w:tbl>
          <w:p>
            <w:pPr>
              <w:pStyle w:val="20"/>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 xml:space="preserve">表 2-2 </w:t>
            </w:r>
            <w:r>
              <w:rPr>
                <w:rFonts w:hint="default" w:ascii="Times New Roman" w:hAnsi="Times New Roman" w:eastAsia="宋体" w:cs="Times New Roman"/>
                <w:color w:val="auto"/>
              </w:rPr>
              <w:t>项目主要</w:t>
            </w:r>
            <w:r>
              <w:rPr>
                <w:rFonts w:hint="default" w:ascii="Times New Roman" w:hAnsi="Times New Roman" w:eastAsia="宋体" w:cs="Times New Roman"/>
                <w:color w:val="auto"/>
                <w:lang w:val="en-US" w:eastAsia="zh-CN"/>
              </w:rPr>
              <w:t>经济技术指标</w:t>
            </w:r>
            <w:r>
              <w:rPr>
                <w:rFonts w:hint="default" w:ascii="Times New Roman" w:hAnsi="Times New Roman" w:eastAsia="宋体" w:cs="Times New Roman"/>
                <w:color w:val="auto"/>
              </w:rPr>
              <w:t>一览表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3859"/>
              <w:gridCol w:w="3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shd w:val="clear" w:color="auto" w:fill="92D050"/>
                  <w:noWrap w:val="0"/>
                  <w:vAlign w:val="center"/>
                </w:tcPr>
                <w:p>
                  <w:pPr>
                    <w:pStyle w:val="21"/>
                    <w:widowControl w:val="0"/>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eastAsia="zh-CN"/>
                    </w:rPr>
                    <w:t>名称</w:t>
                  </w:r>
                </w:p>
              </w:tc>
              <w:tc>
                <w:tcPr>
                  <w:tcW w:w="2259" w:type="pct"/>
                  <w:shd w:val="clear" w:color="auto" w:fill="92D050"/>
                  <w:noWrap w:val="0"/>
                  <w:vAlign w:val="center"/>
                </w:tcPr>
                <w:p>
                  <w:pPr>
                    <w:pStyle w:val="21"/>
                    <w:widowControl w:val="0"/>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总用地面积</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88574平方米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总建筑面积</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53479平方米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计容总建筑面积</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50829平方米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现状</w:t>
                  </w:r>
                </w:p>
              </w:tc>
              <w:tc>
                <w:tcPr>
                  <w:tcW w:w="2181"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现状已建建筑</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color w:val="auto"/>
                      <w:sz w:val="21"/>
                      <w:szCs w:val="21"/>
                      <w:highlight w:val="none"/>
                      <w:lang w:val="en-US" w:eastAsia="zh-CN"/>
                    </w:rPr>
                    <w:t>41629平方米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新建</w:t>
                  </w:r>
                </w:p>
              </w:tc>
              <w:tc>
                <w:tcPr>
                  <w:tcW w:w="2181"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4#宿舍楼</w:t>
                  </w:r>
                </w:p>
              </w:tc>
              <w:tc>
                <w:tcPr>
                  <w:tcW w:w="2259" w:type="pct"/>
                  <w:noWrap w:val="0"/>
                  <w:vAlign w:val="center"/>
                </w:tcPr>
                <w:p>
                  <w:pPr>
                    <w:pStyle w:val="21"/>
                    <w:widowControl w:val="0"/>
                    <w:bidi w:val="0"/>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9390平方米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新建地下建筑面积</w:t>
                  </w:r>
                </w:p>
              </w:tc>
              <w:tc>
                <w:tcPr>
                  <w:tcW w:w="2259" w:type="pct"/>
                  <w:noWrap w:val="0"/>
                  <w:vAlign w:val="center"/>
                </w:tcPr>
                <w:p>
                  <w:pPr>
                    <w:pStyle w:val="21"/>
                    <w:widowControl w:val="0"/>
                    <w:bidi w:val="0"/>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2450平方米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新建</w:t>
                  </w:r>
                </w:p>
              </w:tc>
              <w:tc>
                <w:tcPr>
                  <w:tcW w:w="2181"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4#宿舍楼地下车库</w:t>
                  </w:r>
                </w:p>
              </w:tc>
              <w:tc>
                <w:tcPr>
                  <w:tcW w:w="2259" w:type="pct"/>
                  <w:noWrap w:val="0"/>
                  <w:vAlign w:val="center"/>
                </w:tcPr>
                <w:p>
                  <w:pPr>
                    <w:pStyle w:val="21"/>
                    <w:widowControl w:val="0"/>
                    <w:bidi w:val="0"/>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2450平方米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新建</w:t>
                  </w:r>
                </w:p>
              </w:tc>
              <w:tc>
                <w:tcPr>
                  <w:tcW w:w="2181"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配电房</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color w:val="auto"/>
                      <w:sz w:val="21"/>
                      <w:szCs w:val="21"/>
                      <w:highlight w:val="none"/>
                      <w:lang w:val="en-US" w:eastAsia="zh-CN"/>
                    </w:rPr>
                    <w:t>102平方米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新建</w:t>
                  </w:r>
                </w:p>
              </w:tc>
              <w:tc>
                <w:tcPr>
                  <w:tcW w:w="2181"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泵房</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b w:val="0"/>
                      <w:color w:val="auto"/>
                      <w:sz w:val="21"/>
                      <w:szCs w:val="21"/>
                      <w:highlight w:val="none"/>
                      <w:lang w:val="en-US" w:eastAsia="zh-CN"/>
                    </w:rPr>
                    <w:t>170平方米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容积率</w:t>
                  </w:r>
                </w:p>
              </w:tc>
              <w:tc>
                <w:tcPr>
                  <w:tcW w:w="22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建筑密度</w:t>
                  </w:r>
                </w:p>
              </w:tc>
              <w:tc>
                <w:tcPr>
                  <w:tcW w:w="2259" w:type="pc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绿化率</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vMerge w:val="restart"/>
                  <w:noWrap w:val="0"/>
                  <w:vAlign w:val="center"/>
                </w:tcPr>
                <w:p>
                  <w:pPr>
                    <w:pStyle w:val="21"/>
                    <w:widowControl w:val="0"/>
                    <w:bidi w:val="0"/>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停车位</w:t>
                  </w: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地下机动车停车位：63个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vMerge w:val="continue"/>
                  <w:noWrap w:val="0"/>
                  <w:vAlign w:val="center"/>
                </w:tcPr>
                <w:p>
                  <w:pPr>
                    <w:pStyle w:val="21"/>
                    <w:widowControl w:val="0"/>
                    <w:bidi w:val="0"/>
                    <w:rPr>
                      <w:rFonts w:hint="default" w:ascii="Times New Roman" w:hAnsi="Times New Roman" w:eastAsia="宋体" w:cs="Times New Roman"/>
                      <w:b/>
                      <w:bCs/>
                      <w:color w:val="auto"/>
                      <w:lang w:val="en-US" w:eastAsia="zh-CN"/>
                    </w:rPr>
                  </w:pPr>
                </w:p>
              </w:tc>
              <w:tc>
                <w:tcPr>
                  <w:tcW w:w="2259" w:type="pct"/>
                  <w:noWrap w:val="0"/>
                  <w:vAlign w:val="center"/>
                </w:tcPr>
                <w:p>
                  <w:pPr>
                    <w:pStyle w:val="21"/>
                    <w:widowControl w:val="0"/>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非机动车停车位：450个</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highlight w:val="green"/>
                <w:lang w:val="en-US" w:eastAsia="zh-CN"/>
              </w:rPr>
            </w:pPr>
          </w:p>
        </w:tc>
      </w:tr>
    </w:tbl>
    <w:p>
      <w:pPr>
        <w:pStyle w:val="4"/>
        <w:outlineLvl w:val="9"/>
        <w:rPr>
          <w:rFonts w:hint="eastAsia"/>
          <w:b/>
          <w:bCs/>
          <w:color w:val="auto"/>
          <w:highlight w:val="none"/>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4"/>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表三：主要污染源、污染物处理及排放</w:t>
      </w:r>
    </w:p>
    <w:tbl>
      <w:tblPr>
        <w:tblStyle w:val="1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6" w:hRule="atLeast"/>
          <w:jc w:val="center"/>
        </w:trPr>
        <w:tc>
          <w:tcPr>
            <w:tcW w:w="9354" w:type="dxa"/>
            <w:vAlign w:val="top"/>
          </w:tcPr>
          <w:p>
            <w:pPr>
              <w:pStyle w:val="4"/>
              <w:rPr>
                <w:rFonts w:hint="eastAsia"/>
                <w:b/>
                <w:bCs/>
                <w:color w:val="auto"/>
                <w:highlight w:val="none"/>
                <w:lang w:val="en-US" w:eastAsia="zh-CN"/>
              </w:rPr>
            </w:pPr>
            <w:r>
              <w:rPr>
                <w:rFonts w:hint="eastAsia"/>
                <w:b/>
                <w:bCs/>
                <w:color w:val="auto"/>
                <w:highlight w:val="none"/>
                <w:lang w:val="en-US" w:eastAsia="zh-CN"/>
              </w:rPr>
              <w:t>主要污染源、污染物处理及排放：</w:t>
            </w:r>
          </w:p>
          <w:p>
            <w:pPr>
              <w:pStyle w:val="3"/>
              <w:ind w:firstLine="482" w:firstLineChars="200"/>
              <w:rPr>
                <w:rFonts w:hint="eastAsia"/>
                <w:b/>
                <w:bCs/>
                <w:color w:val="auto"/>
                <w:highlight w:val="none"/>
                <w:lang w:val="en-US" w:eastAsia="zh-CN"/>
              </w:rPr>
            </w:pPr>
            <w:r>
              <w:rPr>
                <w:rFonts w:hint="eastAsia"/>
                <w:b/>
                <w:bCs/>
                <w:color w:val="auto"/>
                <w:highlight w:val="none"/>
                <w:lang w:val="en-US" w:eastAsia="zh-CN"/>
              </w:rPr>
              <w:t>1、废水</w:t>
            </w:r>
          </w:p>
          <w:p>
            <w:pPr>
              <w:numPr>
                <w:ilvl w:val="0"/>
                <w:numId w:val="0"/>
              </w:numPr>
              <w:adjustRightInd w:val="0"/>
              <w:snapToGrid w:val="0"/>
              <w:spacing w:line="360" w:lineRule="auto"/>
              <w:ind w:firstLine="480" w:firstLineChars="200"/>
              <w:rPr>
                <w:rFonts w:hint="default"/>
                <w:color w:val="auto"/>
                <w:highlight w:val="none"/>
                <w:vertAlign w:val="baseline"/>
                <w:lang w:val="en-US" w:eastAsia="zh-CN"/>
              </w:rPr>
            </w:pPr>
            <w:r>
              <w:rPr>
                <w:rFonts w:hint="eastAsia"/>
                <w:color w:val="auto"/>
                <w:highlight w:val="none"/>
                <w:lang w:val="en-US" w:eastAsia="zh-CN"/>
              </w:rPr>
              <w:t>本项目为学校宿舍楼，无生产废水，营运期废水主要为学生与教职工产生的生活污水。排水系统实行雨污分流，生活污水经化粪池预处理后纳入市政污水管网，送至污水处理厂处理。</w:t>
            </w:r>
          </w:p>
          <w:tbl>
            <w:tblPr>
              <w:tblStyle w:val="13"/>
              <w:tblW w:w="8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7"/>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drawing>
                      <wp:inline distT="0" distB="0" distL="114300" distR="114300">
                        <wp:extent cx="1853565" cy="2279015"/>
                        <wp:effectExtent l="0" t="0" r="13335" b="6985"/>
                        <wp:docPr id="55" name="图片 55" descr="a26146d02caf98915127ba9f873993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a26146d02caf98915127ba9f8739936a"/>
                                <pic:cNvPicPr>
                                  <a:picLocks noChangeAspect="1"/>
                                </pic:cNvPicPr>
                              </pic:nvPicPr>
                              <pic:blipFill>
                                <a:blip r:embed="rId14"/>
                                <a:srcRect t="14951" b="29590"/>
                                <a:stretch>
                                  <a:fillRect/>
                                </a:stretch>
                              </pic:blipFill>
                              <pic:spPr>
                                <a:xfrm rot="10800000">
                                  <a:off x="0" y="0"/>
                                  <a:ext cx="1853565" cy="2279015"/>
                                </a:xfrm>
                                <a:prstGeom prst="rect">
                                  <a:avLst/>
                                </a:prstGeom>
                              </pic:spPr>
                            </pic:pic>
                          </a:graphicData>
                        </a:graphic>
                      </wp:inline>
                    </w:drawing>
                  </w:r>
                </w:p>
              </w:tc>
              <w:tc>
                <w:tcPr>
                  <w:tcW w:w="4428" w:type="dxa"/>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drawing>
                      <wp:inline distT="0" distB="0" distL="114300" distR="114300">
                        <wp:extent cx="1640205" cy="2277110"/>
                        <wp:effectExtent l="0" t="0" r="17145" b="8890"/>
                        <wp:docPr id="56" name="图片 56" descr="8d40d2bbee929fb91f8cd55380694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8d40d2bbee929fb91f8cd55380694ded"/>
                                <pic:cNvPicPr>
                                  <a:picLocks noChangeAspect="1"/>
                                </pic:cNvPicPr>
                              </pic:nvPicPr>
                              <pic:blipFill>
                                <a:blip r:embed="rId15"/>
                                <a:srcRect t="17686" b="19691"/>
                                <a:stretch>
                                  <a:fillRect/>
                                </a:stretch>
                              </pic:blipFill>
                              <pic:spPr>
                                <a:xfrm>
                                  <a:off x="0" y="0"/>
                                  <a:ext cx="1640205" cy="22771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t>污水排口</w:t>
                  </w:r>
                </w:p>
              </w:tc>
              <w:tc>
                <w:tcPr>
                  <w:tcW w:w="4428" w:type="dxa"/>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t>雨水排口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vAlign w:val="center"/>
                </w:tcPr>
                <w:p>
                  <w:pPr>
                    <w:pStyle w:val="4"/>
                    <w:ind w:left="0" w:leftChars="0" w:firstLine="0" w:firstLineChars="0"/>
                    <w:jc w:val="center"/>
                    <w:rPr>
                      <w:rFonts w:hint="default"/>
                      <w:vertAlign w:val="baseline"/>
                      <w:lang w:val="en-US" w:eastAsia="zh-CN"/>
                    </w:rPr>
                  </w:pPr>
                  <w:r>
                    <w:rPr>
                      <w:rFonts w:hint="default"/>
                      <w:vertAlign w:val="baseline"/>
                      <w:lang w:val="en-US" w:eastAsia="zh-CN"/>
                    </w:rPr>
                    <w:drawing>
                      <wp:inline distT="0" distB="0" distL="114300" distR="114300">
                        <wp:extent cx="2670810" cy="2378075"/>
                        <wp:effectExtent l="0" t="0" r="0" b="0"/>
                        <wp:docPr id="57" name="图片 57" descr="aa342a71663f37ed0c714cfae7847a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aa342a71663f37ed0c714cfae7847a1d"/>
                                <pic:cNvPicPr>
                                  <a:picLocks noChangeAspect="1"/>
                                </pic:cNvPicPr>
                              </pic:nvPicPr>
                              <pic:blipFill>
                                <a:blip r:embed="rId16"/>
                                <a:srcRect l="-357" t="21150" r="357" b="38685"/>
                                <a:stretch>
                                  <a:fillRect/>
                                </a:stretch>
                              </pic:blipFill>
                              <pic:spPr>
                                <a:xfrm>
                                  <a:off x="0" y="0"/>
                                  <a:ext cx="2670810" cy="2378075"/>
                                </a:xfrm>
                                <a:prstGeom prst="rect">
                                  <a:avLst/>
                                </a:prstGeom>
                              </pic:spPr>
                            </pic:pic>
                          </a:graphicData>
                        </a:graphic>
                      </wp:inline>
                    </w:drawing>
                  </w:r>
                </w:p>
              </w:tc>
              <w:tc>
                <w:tcPr>
                  <w:tcW w:w="4428" w:type="dxa"/>
                  <w:vAlign w:val="center"/>
                </w:tcPr>
                <w:p>
                  <w:pPr>
                    <w:pStyle w:val="4"/>
                    <w:ind w:left="0" w:leftChars="0" w:firstLine="0" w:firstLineChars="0"/>
                    <w:jc w:val="center"/>
                    <w:rPr>
                      <w:rFonts w:hint="default"/>
                      <w:vertAlign w:val="baseline"/>
                      <w:lang w:val="en-US" w:eastAsia="zh-CN"/>
                    </w:rPr>
                  </w:pPr>
                  <w:r>
                    <w:rPr>
                      <w:rFonts w:hint="default"/>
                      <w:vertAlign w:val="baseline"/>
                      <w:lang w:val="en-US" w:eastAsia="zh-CN"/>
                    </w:rPr>
                    <w:drawing>
                      <wp:inline distT="0" distB="0" distL="114300" distR="114300">
                        <wp:extent cx="2670810" cy="2384425"/>
                        <wp:effectExtent l="0" t="0" r="0" b="0"/>
                        <wp:docPr id="58" name="图片 58" descr="0f696aa814e22dcd5046fbdd95dca4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0f696aa814e22dcd5046fbdd95dca40c"/>
                                <pic:cNvPicPr>
                                  <a:picLocks noChangeAspect="1"/>
                                </pic:cNvPicPr>
                              </pic:nvPicPr>
                              <pic:blipFill>
                                <a:blip r:embed="rId17"/>
                                <a:srcRect t="16248" b="43479"/>
                                <a:stretch>
                                  <a:fillRect/>
                                </a:stretch>
                              </pic:blipFill>
                              <pic:spPr>
                                <a:xfrm>
                                  <a:off x="0" y="0"/>
                                  <a:ext cx="2670810" cy="23844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5" w:type="dxa"/>
                  <w:gridSpan w:val="2"/>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t>化粪池</w:t>
                  </w:r>
                </w:p>
              </w:tc>
            </w:tr>
          </w:tbl>
          <w:p>
            <w:pPr>
              <w:ind w:firstLine="482" w:firstLineChars="200"/>
              <w:rPr>
                <w:rFonts w:hint="eastAsia"/>
                <w:b/>
                <w:bCs/>
                <w:color w:val="auto"/>
                <w:highlight w:val="none"/>
                <w:lang w:val="en-US" w:eastAsia="zh-CN"/>
              </w:rPr>
            </w:pPr>
            <w:r>
              <w:rPr>
                <w:rFonts w:hint="eastAsia"/>
                <w:b/>
                <w:bCs/>
                <w:color w:val="auto"/>
                <w:highlight w:val="none"/>
                <w:lang w:val="en-US" w:eastAsia="zh-CN"/>
              </w:rPr>
              <w:t>2、废气</w:t>
            </w:r>
          </w:p>
          <w:p>
            <w:pPr>
              <w:bidi w:val="0"/>
              <w:rPr>
                <w:rFonts w:hint="eastAsia"/>
                <w:color w:val="auto"/>
                <w:lang w:val="en-US" w:eastAsia="zh-CN"/>
              </w:rPr>
            </w:pPr>
            <w:r>
              <w:rPr>
                <w:rFonts w:hint="eastAsia"/>
                <w:color w:val="auto"/>
                <w:lang w:val="en-US" w:eastAsia="zh-CN"/>
              </w:rPr>
              <w:t>本项目学生宿舍楼、地下停车库均未投入使用，暂不产生废气。运营后项目主要为汽车尾气。地下车库设置排风口，采用机械排风系统来保证地下停车场的通风量，另外还通过合理调度车辆存放，减少发电机待机时间，降低停车行驶距离来减少汽车尾气的排放量。</w:t>
            </w:r>
          </w:p>
          <w:tbl>
            <w:tblPr>
              <w:tblStyle w:val="13"/>
              <w:tblW w:w="8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7"/>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7" w:type="dxa"/>
                  <w:vAlign w:val="center"/>
                </w:tcPr>
                <w:p>
                  <w:pPr>
                    <w:pStyle w:val="4"/>
                    <w:ind w:left="0" w:leftChars="0" w:firstLine="0" w:firstLineChars="0"/>
                    <w:jc w:val="center"/>
                    <w:rPr>
                      <w:rFonts w:hint="default"/>
                      <w:vertAlign w:val="baseline"/>
                      <w:lang w:val="en-US" w:eastAsia="zh-CN"/>
                    </w:rPr>
                  </w:pPr>
                  <w:r>
                    <w:rPr>
                      <w:rFonts w:hint="default"/>
                      <w:vertAlign w:val="baseline"/>
                      <w:lang w:val="en-US" w:eastAsia="zh-CN"/>
                    </w:rPr>
                    <w:drawing>
                      <wp:inline distT="0" distB="0" distL="114300" distR="114300">
                        <wp:extent cx="2670810" cy="2049780"/>
                        <wp:effectExtent l="0" t="0" r="0" b="0"/>
                        <wp:docPr id="20" name="图片 20" descr="2153078e2614813418f2069fef3889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153078e2614813418f2069fef3889b7"/>
                                <pic:cNvPicPr>
                                  <a:picLocks noChangeAspect="1"/>
                                </pic:cNvPicPr>
                              </pic:nvPicPr>
                              <pic:blipFill>
                                <a:blip r:embed="rId18"/>
                                <a:srcRect t="18275" b="47104"/>
                                <a:stretch>
                                  <a:fillRect/>
                                </a:stretch>
                              </pic:blipFill>
                              <pic:spPr>
                                <a:xfrm>
                                  <a:off x="0" y="0"/>
                                  <a:ext cx="2670810" cy="2049780"/>
                                </a:xfrm>
                                <a:prstGeom prst="rect">
                                  <a:avLst/>
                                </a:prstGeom>
                              </pic:spPr>
                            </pic:pic>
                          </a:graphicData>
                        </a:graphic>
                      </wp:inline>
                    </w:drawing>
                  </w:r>
                </w:p>
              </w:tc>
              <w:tc>
                <w:tcPr>
                  <w:tcW w:w="4428" w:type="dxa"/>
                  <w:vAlign w:val="center"/>
                </w:tcPr>
                <w:p>
                  <w:pPr>
                    <w:pStyle w:val="4"/>
                    <w:ind w:left="0" w:leftChars="0" w:firstLine="0" w:firstLineChars="0"/>
                    <w:jc w:val="center"/>
                    <w:rPr>
                      <w:rFonts w:hint="default"/>
                      <w:vertAlign w:val="baseline"/>
                      <w:lang w:val="en-US" w:eastAsia="zh-CN"/>
                    </w:rPr>
                  </w:pPr>
                  <w:r>
                    <w:rPr>
                      <w:rFonts w:hint="default"/>
                      <w:vertAlign w:val="baseline"/>
                      <w:lang w:val="en-US" w:eastAsia="zh-CN"/>
                    </w:rPr>
                    <w:drawing>
                      <wp:inline distT="0" distB="0" distL="114300" distR="114300">
                        <wp:extent cx="2670810" cy="2062480"/>
                        <wp:effectExtent l="0" t="0" r="0" b="0"/>
                        <wp:docPr id="21" name="图片 21" descr="lQDPJwOIy58EIIPNBP_NAkGwB_-gyrbumQsF1kbsxuYrAA_577_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lQDPJwOIy58EIIPNBP_NAkGwB_-gyrbumQsF1kbsxuYrAA_577_1279"/>
                                <pic:cNvPicPr>
                                  <a:picLocks noChangeAspect="1"/>
                                </pic:cNvPicPr>
                              </pic:nvPicPr>
                              <pic:blipFill>
                                <a:blip r:embed="rId19"/>
                                <a:srcRect t="32068" b="33097"/>
                                <a:stretch>
                                  <a:fillRect/>
                                </a:stretch>
                              </pic:blipFill>
                              <pic:spPr>
                                <a:xfrm>
                                  <a:off x="0" y="0"/>
                                  <a:ext cx="2670810" cy="20624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5" w:type="dxa"/>
                  <w:gridSpan w:val="2"/>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t>地下车库排气管道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vAlign w:val="center"/>
                </w:tcPr>
                <w:p>
                  <w:pPr>
                    <w:pStyle w:val="4"/>
                    <w:ind w:left="0" w:leftChars="0" w:firstLine="0" w:firstLineChars="0"/>
                    <w:jc w:val="center"/>
                    <w:rPr>
                      <w:rFonts w:hint="default"/>
                      <w:vertAlign w:val="baseline"/>
                      <w:lang w:val="en-US" w:eastAsia="zh-CN"/>
                    </w:rPr>
                  </w:pPr>
                  <w:r>
                    <w:rPr>
                      <w:rFonts w:hint="eastAsia"/>
                      <w:b/>
                      <w:bCs/>
                      <w:color w:val="auto"/>
                      <w:vertAlign w:val="baseline"/>
                      <w:lang w:val="en-US" w:eastAsia="zh-CN"/>
                    </w:rPr>
                    <w:drawing>
                      <wp:inline distT="0" distB="0" distL="114300" distR="114300">
                        <wp:extent cx="2670810" cy="1892300"/>
                        <wp:effectExtent l="0" t="0" r="15240" b="12700"/>
                        <wp:docPr id="43" name="图片 43" descr="9001f1b64a378ec72e3c5f1e5850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9001f1b64a378ec72e3c5f1e58509747"/>
                                <pic:cNvPicPr>
                                  <a:picLocks noChangeAspect="1"/>
                                </pic:cNvPicPr>
                              </pic:nvPicPr>
                              <pic:blipFill>
                                <a:blip r:embed="rId20"/>
                                <a:srcRect t="29365" b="38674"/>
                                <a:stretch>
                                  <a:fillRect/>
                                </a:stretch>
                              </pic:blipFill>
                              <pic:spPr>
                                <a:xfrm>
                                  <a:off x="0" y="0"/>
                                  <a:ext cx="2670810" cy="1892300"/>
                                </a:xfrm>
                                <a:prstGeom prst="rect">
                                  <a:avLst/>
                                </a:prstGeom>
                              </pic:spPr>
                            </pic:pic>
                          </a:graphicData>
                        </a:graphic>
                      </wp:inline>
                    </w:drawing>
                  </w:r>
                </w:p>
              </w:tc>
              <w:tc>
                <w:tcPr>
                  <w:tcW w:w="4428" w:type="dxa"/>
                  <w:vAlign w:val="center"/>
                </w:tcPr>
                <w:p>
                  <w:pPr>
                    <w:pStyle w:val="4"/>
                    <w:ind w:left="0" w:leftChars="0" w:firstLine="0" w:firstLineChars="0"/>
                    <w:jc w:val="center"/>
                    <w:rPr>
                      <w:rFonts w:hint="default"/>
                      <w:vertAlign w:val="baseline"/>
                      <w:lang w:val="en-US" w:eastAsia="zh-CN"/>
                    </w:rPr>
                  </w:pPr>
                  <w:r>
                    <w:rPr>
                      <w:rFonts w:hint="eastAsia"/>
                      <w:b/>
                      <w:bCs/>
                      <w:color w:val="auto"/>
                      <w:vertAlign w:val="baseline"/>
                      <w:lang w:val="en-US" w:eastAsia="zh-CN"/>
                    </w:rPr>
                    <w:drawing>
                      <wp:inline distT="0" distB="0" distL="114300" distR="114300">
                        <wp:extent cx="2670810" cy="1894840"/>
                        <wp:effectExtent l="0" t="0" r="15240" b="10160"/>
                        <wp:docPr id="47" name="图片 47" descr="e9bf2994d091fc3bf5198f1508341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e9bf2994d091fc3bf5198f1508341687"/>
                                <pic:cNvPicPr>
                                  <a:picLocks noChangeAspect="1"/>
                                </pic:cNvPicPr>
                              </pic:nvPicPr>
                              <pic:blipFill>
                                <a:blip r:embed="rId21"/>
                                <a:srcRect t="30116" b="37881"/>
                                <a:stretch>
                                  <a:fillRect/>
                                </a:stretch>
                              </pic:blipFill>
                              <pic:spPr>
                                <a:xfrm>
                                  <a:off x="0" y="0"/>
                                  <a:ext cx="2670810" cy="18948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5" w:type="dxa"/>
                  <w:gridSpan w:val="2"/>
                  <w:vAlign w:val="center"/>
                </w:tcPr>
                <w:p>
                  <w:pPr>
                    <w:pStyle w:val="4"/>
                    <w:ind w:left="0" w:leftChars="0" w:firstLine="0" w:firstLineChars="0"/>
                    <w:jc w:val="center"/>
                    <w:rPr>
                      <w:rFonts w:hint="default"/>
                      <w:vertAlign w:val="baseline"/>
                      <w:lang w:val="en-US" w:eastAsia="zh-CN"/>
                    </w:rPr>
                  </w:pPr>
                  <w:r>
                    <w:rPr>
                      <w:rFonts w:hint="eastAsia"/>
                      <w:vertAlign w:val="baseline"/>
                      <w:lang w:val="en-US" w:eastAsia="zh-CN"/>
                    </w:rPr>
                    <w:t>地下停车场排气口</w:t>
                  </w:r>
                </w:p>
              </w:tc>
            </w:tr>
          </w:tbl>
          <w:p>
            <w:pPr>
              <w:ind w:firstLine="482" w:firstLineChars="200"/>
              <w:rPr>
                <w:rFonts w:hint="eastAsia"/>
                <w:b/>
                <w:bCs/>
                <w:color w:val="auto"/>
                <w:highlight w:val="none"/>
                <w:lang w:val="en-US" w:eastAsia="zh-CN"/>
              </w:rPr>
            </w:pPr>
            <w:r>
              <w:rPr>
                <w:rFonts w:hint="eastAsia"/>
                <w:b/>
                <w:bCs/>
                <w:color w:val="auto"/>
                <w:highlight w:val="none"/>
                <w:lang w:val="en-US" w:eastAsia="zh-CN"/>
              </w:rPr>
              <w:t>3、噪声</w:t>
            </w:r>
          </w:p>
          <w:p>
            <w:pPr>
              <w:bidi w:val="0"/>
              <w:rPr>
                <w:rFonts w:hint="default"/>
                <w:color w:val="auto"/>
                <w:vertAlign w:val="baseline"/>
                <w:lang w:val="en-US" w:eastAsia="zh-CN"/>
              </w:rPr>
            </w:pPr>
            <w:r>
              <w:rPr>
                <w:rFonts w:hint="eastAsia"/>
                <w:color w:val="auto"/>
                <w:highlight w:val="none"/>
                <w:lang w:val="en-US" w:eastAsia="zh-CN"/>
              </w:rPr>
              <w:t>本项目运营期噪声主要来自于配电房、水泵房、机动车及社会活动噪声。通过合理调整平面规划，配电房与水泵房设置于学生宿舍楼地下一层，且配电房与水泵房在专门的设备房内，设备安装减震基座。所有入室窗户均采用中空隔声玻璃，现场通过充分利用建筑物隔声，增加绿化、车辆减速、距离衰减等措施进行隔声降噪。</w:t>
            </w:r>
          </w:p>
          <w:tbl>
            <w:tblPr>
              <w:tblStyle w:val="13"/>
              <w:tblW w:w="8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7"/>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vAlign w:val="center"/>
                </w:tcPr>
                <w:p>
                  <w:pPr>
                    <w:bidi w:val="0"/>
                    <w:ind w:left="0" w:leftChars="0" w:firstLine="0" w:firstLineChars="0"/>
                    <w:jc w:val="center"/>
                    <w:rPr>
                      <w:rFonts w:hint="default"/>
                      <w:color w:val="auto"/>
                      <w:vertAlign w:val="baseline"/>
                      <w:lang w:val="en-US" w:eastAsia="zh-CN"/>
                    </w:rPr>
                  </w:pPr>
                  <w:r>
                    <w:rPr>
                      <w:rFonts w:hint="eastAsia"/>
                      <w:b/>
                      <w:bCs/>
                      <w:color w:val="auto"/>
                      <w:vertAlign w:val="baseline"/>
                      <w:lang w:val="en-US" w:eastAsia="zh-CN"/>
                    </w:rPr>
                    <w:drawing>
                      <wp:inline distT="0" distB="0" distL="114300" distR="114300">
                        <wp:extent cx="2670810" cy="2247900"/>
                        <wp:effectExtent l="0" t="0" r="15240" b="0"/>
                        <wp:docPr id="51" name="图片 51" descr="408c7d8641c7c2bd0937f6decda51c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408c7d8641c7c2bd0937f6decda51c00"/>
                                <pic:cNvPicPr>
                                  <a:picLocks noChangeAspect="1"/>
                                </pic:cNvPicPr>
                              </pic:nvPicPr>
                              <pic:blipFill>
                                <a:blip r:embed="rId22"/>
                                <a:srcRect l="-1783" t="21042" r="1783" b="40991"/>
                                <a:stretch>
                                  <a:fillRect/>
                                </a:stretch>
                              </pic:blipFill>
                              <pic:spPr>
                                <a:xfrm>
                                  <a:off x="0" y="0"/>
                                  <a:ext cx="2670810" cy="2247900"/>
                                </a:xfrm>
                                <a:prstGeom prst="rect">
                                  <a:avLst/>
                                </a:prstGeom>
                              </pic:spPr>
                            </pic:pic>
                          </a:graphicData>
                        </a:graphic>
                      </wp:inline>
                    </w:drawing>
                  </w:r>
                </w:p>
              </w:tc>
              <w:tc>
                <w:tcPr>
                  <w:tcW w:w="4428" w:type="dxa"/>
                  <w:vAlign w:val="center"/>
                </w:tcPr>
                <w:p>
                  <w:pPr>
                    <w:bidi w:val="0"/>
                    <w:ind w:left="0" w:leftChars="0" w:firstLine="0" w:firstLineChars="0"/>
                    <w:jc w:val="center"/>
                    <w:rPr>
                      <w:rFonts w:hint="default"/>
                      <w:color w:val="auto"/>
                      <w:vertAlign w:val="baseline"/>
                      <w:lang w:val="en-US" w:eastAsia="zh-CN"/>
                    </w:rPr>
                  </w:pPr>
                  <w:r>
                    <w:rPr>
                      <w:rFonts w:hint="eastAsia"/>
                      <w:b/>
                      <w:bCs/>
                      <w:color w:val="auto"/>
                      <w:vertAlign w:val="baseline"/>
                      <w:lang w:val="en-US" w:eastAsia="zh-CN"/>
                    </w:rPr>
                    <w:drawing>
                      <wp:inline distT="0" distB="0" distL="114300" distR="114300">
                        <wp:extent cx="2670810" cy="2219960"/>
                        <wp:effectExtent l="0" t="0" r="15240" b="8890"/>
                        <wp:docPr id="52" name="图片 52" descr="4744b075adeb19326336c496f20c9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4744b075adeb19326336c496f20c9581"/>
                                <pic:cNvPicPr>
                                  <a:picLocks noChangeAspect="1"/>
                                </pic:cNvPicPr>
                              </pic:nvPicPr>
                              <pic:blipFill>
                                <a:blip r:embed="rId23"/>
                                <a:srcRect l="357" t="35757" r="-357" b="26748"/>
                                <a:stretch>
                                  <a:fillRect/>
                                </a:stretch>
                              </pic:blipFill>
                              <pic:spPr>
                                <a:xfrm>
                                  <a:off x="0" y="0"/>
                                  <a:ext cx="2670810" cy="22199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5" w:type="dxa"/>
                  <w:gridSpan w:val="2"/>
                </w:tcPr>
                <w:p>
                  <w:pPr>
                    <w:bidi w:val="0"/>
                    <w:ind w:left="0" w:leftChars="0" w:firstLine="0" w:firstLineChars="0"/>
                    <w:jc w:val="center"/>
                    <w:rPr>
                      <w:rFonts w:hint="default"/>
                      <w:color w:val="auto"/>
                      <w:vertAlign w:val="baseline"/>
                      <w:lang w:val="en-US" w:eastAsia="zh-CN"/>
                    </w:rPr>
                  </w:pPr>
                  <w:r>
                    <w:rPr>
                      <w:rFonts w:hint="eastAsia"/>
                      <w:color w:val="auto"/>
                      <w:vertAlign w:val="baseline"/>
                      <w:lang w:val="en-US" w:eastAsia="zh-CN"/>
                    </w:rPr>
                    <w:t>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tcPr>
                <w:p>
                  <w:pPr>
                    <w:bidi w:val="0"/>
                    <w:ind w:left="0" w:leftChars="0" w:firstLine="0" w:firstLineChars="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1454785" cy="2246630"/>
                        <wp:effectExtent l="0" t="0" r="12065" b="1270"/>
                        <wp:docPr id="53" name="图片 53" descr="a90a879788e7fe5016dd8f9c7d9dfe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a90a879788e7fe5016dd8f9c7d9dfe5c"/>
                                <pic:cNvPicPr>
                                  <a:picLocks noChangeAspect="1"/>
                                </pic:cNvPicPr>
                              </pic:nvPicPr>
                              <pic:blipFill>
                                <a:blip r:embed="rId24"/>
                                <a:srcRect t="16452" b="13878"/>
                                <a:stretch>
                                  <a:fillRect/>
                                </a:stretch>
                              </pic:blipFill>
                              <pic:spPr>
                                <a:xfrm>
                                  <a:off x="0" y="0"/>
                                  <a:ext cx="1454785" cy="2246630"/>
                                </a:xfrm>
                                <a:prstGeom prst="rect">
                                  <a:avLst/>
                                </a:prstGeom>
                              </pic:spPr>
                            </pic:pic>
                          </a:graphicData>
                        </a:graphic>
                      </wp:inline>
                    </w:drawing>
                  </w:r>
                </w:p>
              </w:tc>
              <w:tc>
                <w:tcPr>
                  <w:tcW w:w="4428" w:type="dxa"/>
                </w:tcPr>
                <w:p>
                  <w:pPr>
                    <w:bidi w:val="0"/>
                    <w:ind w:left="0" w:leftChars="0" w:firstLine="0" w:firstLineChars="0"/>
                    <w:jc w:val="center"/>
                    <w:rPr>
                      <w:rFonts w:hint="default"/>
                      <w:color w:val="auto"/>
                      <w:vertAlign w:val="baseline"/>
                      <w:lang w:val="en-US" w:eastAsia="zh-CN"/>
                    </w:rPr>
                  </w:pPr>
                  <w:r>
                    <w:drawing>
                      <wp:inline distT="0" distB="0" distL="114300" distR="114300">
                        <wp:extent cx="1503045" cy="2246630"/>
                        <wp:effectExtent l="0" t="0" r="1905" b="127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25"/>
                                <a:srcRect l="8292" t="11741" r="10596" b="8359"/>
                                <a:stretch>
                                  <a:fillRect/>
                                </a:stretch>
                              </pic:blipFill>
                              <pic:spPr>
                                <a:xfrm>
                                  <a:off x="0" y="0"/>
                                  <a:ext cx="1503045" cy="22466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tcPr>
                <w:p>
                  <w:pPr>
                    <w:bidi w:val="0"/>
                    <w:ind w:left="0" w:leftChars="0" w:firstLine="0" w:firstLineChars="0"/>
                    <w:jc w:val="center"/>
                    <w:rPr>
                      <w:rFonts w:hint="default"/>
                      <w:color w:val="auto"/>
                      <w:vertAlign w:val="baseline"/>
                      <w:lang w:val="en-US" w:eastAsia="zh-CN"/>
                    </w:rPr>
                  </w:pPr>
                  <w:r>
                    <w:rPr>
                      <w:rFonts w:hint="eastAsia"/>
                      <w:color w:val="auto"/>
                      <w:vertAlign w:val="baseline"/>
                      <w:lang w:val="en-US" w:eastAsia="zh-CN"/>
                    </w:rPr>
                    <w:t>配电房</w:t>
                  </w:r>
                </w:p>
              </w:tc>
              <w:tc>
                <w:tcPr>
                  <w:tcW w:w="4428" w:type="dxa"/>
                </w:tcPr>
                <w:p>
                  <w:pPr>
                    <w:bidi w:val="0"/>
                    <w:ind w:left="0" w:leftChars="0" w:firstLine="0" w:firstLineChars="0"/>
                    <w:jc w:val="center"/>
                    <w:rPr>
                      <w:rFonts w:hint="default"/>
                      <w:color w:val="auto"/>
                      <w:vertAlign w:val="baseline"/>
                      <w:lang w:val="en-US" w:eastAsia="zh-CN"/>
                    </w:rPr>
                  </w:pPr>
                  <w:r>
                    <w:rPr>
                      <w:rFonts w:hint="eastAsia"/>
                      <w:color w:val="auto"/>
                      <w:vertAlign w:val="baseline"/>
                      <w:lang w:val="en-US" w:eastAsia="zh-CN"/>
                    </w:rPr>
                    <w:t>生活水泵房</w:t>
                  </w:r>
                </w:p>
              </w:tc>
            </w:tr>
          </w:tbl>
          <w:p>
            <w:pPr>
              <w:pStyle w:val="3"/>
              <w:rPr>
                <w:rFonts w:hint="eastAsia"/>
                <w:b/>
                <w:bCs/>
                <w:color w:val="auto"/>
                <w:highlight w:val="none"/>
                <w:lang w:val="en-US" w:eastAsia="zh-CN"/>
              </w:rPr>
            </w:pPr>
            <w:r>
              <w:rPr>
                <w:rFonts w:hint="eastAsia"/>
                <w:b/>
                <w:bCs/>
                <w:color w:val="auto"/>
                <w:highlight w:val="none"/>
                <w:lang w:val="en-US" w:eastAsia="zh-CN"/>
              </w:rPr>
              <w:t>4、固体废物</w:t>
            </w:r>
          </w:p>
          <w:p>
            <w:pPr>
              <w:bidi w:val="0"/>
              <w:rPr>
                <w:rFonts w:hint="default"/>
                <w:color w:val="auto"/>
                <w:lang w:val="en-US" w:eastAsia="zh-CN"/>
              </w:rPr>
            </w:pPr>
            <w:r>
              <w:rPr>
                <w:rFonts w:hint="eastAsia"/>
                <w:color w:val="auto"/>
                <w:lang w:val="en-US" w:eastAsia="zh-CN"/>
              </w:rPr>
              <w:t>本项目固废主要为师生日常生活产生的生活垃圾，采用密闭垃圾桶对生活垃圾进行袋装分类收集，送填埋场作无害化处理。对有利用价值的回收后综合利用，其它无利用价值的普通垃圾及时收集后进入项目区内垃圾临时收集点，由环卫部门统一及时清运处理，垃圾每天早、晚各收集一次，确保生活垃圾收集率达到100%。对本项目垃圾收集桶加强管理，保持其清洁卫生。</w:t>
            </w:r>
          </w:p>
          <w:p>
            <w:pPr>
              <w:pStyle w:val="9"/>
              <w:keepNext w:val="0"/>
              <w:keepLines w:val="0"/>
              <w:pageBreakBefore w:val="0"/>
              <w:widowControl w:val="0"/>
              <w:numPr>
                <w:ilvl w:val="0"/>
                <w:numId w:val="0"/>
              </w:numPr>
              <w:kinsoku/>
              <w:wordWrap/>
              <w:overflowPunct/>
              <w:topLinePunct w:val="0"/>
              <w:autoSpaceDE/>
              <w:autoSpaceDN/>
              <w:bidi w:val="0"/>
              <w:adjustRightInd/>
              <w:snapToGrid/>
              <w:ind w:firstLine="482" w:firstLineChars="200"/>
              <w:jc w:val="both"/>
              <w:textAlignment w:val="auto"/>
              <w:rPr>
                <w:rFonts w:hint="default"/>
                <w:b/>
                <w:bCs/>
                <w:color w:val="auto"/>
                <w:kern w:val="0"/>
                <w:sz w:val="24"/>
                <w:szCs w:val="24"/>
                <w:highlight w:val="none"/>
                <w:lang w:val="en-US" w:eastAsia="zh-CN"/>
              </w:rPr>
            </w:pPr>
            <w:r>
              <w:rPr>
                <w:rFonts w:hint="eastAsia"/>
                <w:b/>
                <w:bCs/>
                <w:color w:val="auto"/>
                <w:kern w:val="0"/>
                <w:sz w:val="24"/>
                <w:szCs w:val="24"/>
                <w:highlight w:val="none"/>
                <w:lang w:val="en-US" w:eastAsia="zh-CN"/>
              </w:rPr>
              <w:t>5、环保设施投资及“三同时”落实情况</w:t>
            </w:r>
          </w:p>
          <w:p>
            <w:pPr>
              <w:bidi w:val="0"/>
              <w:rPr>
                <w:rFonts w:hint="eastAsia"/>
                <w:color w:val="auto"/>
                <w:highlight w:val="none"/>
                <w:lang w:val="en-US" w:eastAsia="zh-CN"/>
              </w:rPr>
            </w:pPr>
            <w:r>
              <w:rPr>
                <w:rFonts w:hint="eastAsia"/>
                <w:color w:val="auto"/>
                <w:highlight w:val="none"/>
                <w:lang w:val="en-US" w:eastAsia="zh-CN"/>
              </w:rPr>
              <w:t>本项目环保投资为75万元，占总投资（4430万元）的1.7%，主要用于废气、噪声等治理，详见下表；</w:t>
            </w:r>
          </w:p>
          <w:p>
            <w:pPr>
              <w:pStyle w:val="4"/>
              <w:rPr>
                <w:rFonts w:hint="eastAsia"/>
                <w:color w:val="auto"/>
                <w:highlight w:val="none"/>
                <w:lang w:val="en-US" w:eastAsia="zh-CN"/>
              </w:rPr>
            </w:pPr>
          </w:p>
          <w:p>
            <w:pPr>
              <w:pStyle w:val="9"/>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b/>
                <w:bCs/>
                <w:color w:val="auto"/>
                <w:kern w:val="0"/>
                <w:sz w:val="21"/>
                <w:szCs w:val="21"/>
                <w:highlight w:val="none"/>
                <w:lang w:val="en-US" w:eastAsia="zh-CN"/>
              </w:rPr>
            </w:pPr>
          </w:p>
          <w:p>
            <w:pPr>
              <w:pStyle w:val="9"/>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b/>
                <w:bCs/>
                <w:color w:val="auto"/>
                <w:kern w:val="0"/>
                <w:sz w:val="21"/>
                <w:szCs w:val="21"/>
                <w:highlight w:val="none"/>
                <w:lang w:val="en-US" w:eastAsia="zh-CN"/>
              </w:rPr>
            </w:pPr>
            <w:r>
              <w:rPr>
                <w:rFonts w:hint="eastAsia"/>
                <w:b/>
                <w:bCs/>
                <w:color w:val="auto"/>
                <w:kern w:val="0"/>
                <w:sz w:val="21"/>
                <w:szCs w:val="21"/>
                <w:highlight w:val="none"/>
                <w:lang w:val="en-US" w:eastAsia="zh-CN"/>
              </w:rPr>
              <w:t>表3-1环保投资明细一览表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319"/>
              <w:gridCol w:w="4395"/>
              <w:gridCol w:w="2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shd w:val="clear" w:color="auto" w:fill="92D05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序号</w:t>
                  </w:r>
                </w:p>
              </w:tc>
              <w:tc>
                <w:tcPr>
                  <w:tcW w:w="1319" w:type="dxa"/>
                  <w:shd w:val="clear" w:color="auto" w:fill="92D05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类别</w:t>
                  </w:r>
                </w:p>
              </w:tc>
              <w:tc>
                <w:tcPr>
                  <w:tcW w:w="4395" w:type="dxa"/>
                  <w:shd w:val="clear" w:color="auto" w:fill="92D05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eastAsia="zh-CN"/>
                    </w:rPr>
                    <w:t>环保设施名称</w:t>
                  </w:r>
                </w:p>
              </w:tc>
              <w:tc>
                <w:tcPr>
                  <w:tcW w:w="2246" w:type="dxa"/>
                  <w:shd w:val="clear" w:color="auto" w:fill="92D05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eastAsia="zh-CN"/>
                    </w:rPr>
                    <w:t>实际</w:t>
                  </w:r>
                  <w:r>
                    <w:rPr>
                      <w:rFonts w:ascii="Times New Roman" w:hAnsi="Times New Roman" w:eastAsia="宋体" w:cs="Times New Roman"/>
                      <w:b/>
                      <w:bCs/>
                      <w:color w:val="auto"/>
                      <w:sz w:val="21"/>
                      <w:szCs w:val="21"/>
                      <w:highlight w:val="none"/>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 w:val="0"/>
                      <w:bCs w:val="0"/>
                      <w:color w:val="auto"/>
                      <w:sz w:val="21"/>
                      <w:szCs w:val="21"/>
                      <w:highlight w:val="none"/>
                    </w:rPr>
                  </w:pPr>
                  <w:r>
                    <w:rPr>
                      <w:rFonts w:ascii="Times New Roman" w:hAnsi="Times New Roman" w:eastAsia="宋体" w:cs="Times New Roman"/>
                      <w:b w:val="0"/>
                      <w:bCs w:val="0"/>
                      <w:color w:val="auto"/>
                      <w:sz w:val="21"/>
                      <w:szCs w:val="21"/>
                      <w:highlight w:val="none"/>
                    </w:rPr>
                    <w:t>1</w:t>
                  </w:r>
                </w:p>
              </w:tc>
              <w:tc>
                <w:tcPr>
                  <w:tcW w:w="1319"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废气</w:t>
                  </w:r>
                </w:p>
              </w:tc>
              <w:tc>
                <w:tcPr>
                  <w:tcW w:w="43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预留烟道</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w:t>
                  </w:r>
                </w:p>
              </w:tc>
              <w:tc>
                <w:tcPr>
                  <w:tcW w:w="1319"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废水</w:t>
                  </w:r>
                </w:p>
              </w:tc>
              <w:tc>
                <w:tcPr>
                  <w:tcW w:w="43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hAnsi="宋体" w:eastAsia="宋体" w:cs="宋体"/>
                      <w:bCs/>
                      <w:color w:val="auto"/>
                      <w:sz w:val="21"/>
                      <w:szCs w:val="21"/>
                      <w:lang w:val="en-US" w:eastAsia="zh-CN"/>
                    </w:rPr>
                    <w:t>化粪池</w:t>
                  </w:r>
                  <w:r>
                    <w:rPr>
                      <w:rFonts w:hint="eastAsia" w:hAnsi="宋体" w:eastAsia="宋体" w:cs="宋体"/>
                      <w:bCs/>
                      <w:color w:val="auto"/>
                      <w:sz w:val="21"/>
                      <w:szCs w:val="21"/>
                    </w:rPr>
                    <w:t>、污水管网</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3</w:t>
                  </w:r>
                </w:p>
              </w:tc>
              <w:tc>
                <w:tcPr>
                  <w:tcW w:w="1319"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噪声</w:t>
                  </w:r>
                </w:p>
              </w:tc>
              <w:tc>
                <w:tcPr>
                  <w:tcW w:w="43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hAnsi="宋体" w:eastAsia="宋体" w:cs="宋体"/>
                      <w:bCs/>
                      <w:color w:val="auto"/>
                      <w:sz w:val="21"/>
                      <w:szCs w:val="21"/>
                    </w:rPr>
                    <w:t>合理布局、选用低噪声设备、安装减震基座、设备房隔声降噪</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4</w:t>
                  </w:r>
                </w:p>
              </w:tc>
              <w:tc>
                <w:tcPr>
                  <w:tcW w:w="1319"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固废</w:t>
                  </w:r>
                </w:p>
              </w:tc>
              <w:tc>
                <w:tcPr>
                  <w:tcW w:w="43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hAnsi="宋体" w:eastAsia="宋体" w:cs="宋体"/>
                      <w:bCs/>
                      <w:color w:val="auto"/>
                      <w:sz w:val="21"/>
                      <w:szCs w:val="21"/>
                    </w:rPr>
                    <w:t>垃圾</w:t>
                  </w:r>
                  <w:r>
                    <w:rPr>
                      <w:rFonts w:hint="eastAsia" w:hAnsi="宋体" w:eastAsia="宋体" w:cs="宋体"/>
                      <w:bCs/>
                      <w:color w:val="auto"/>
                      <w:sz w:val="21"/>
                      <w:szCs w:val="21"/>
                      <w:lang w:eastAsia="zh-CN"/>
                    </w:rPr>
                    <w:t>桶</w:t>
                  </w:r>
                  <w:r>
                    <w:rPr>
                      <w:rFonts w:hint="eastAsia" w:hAnsi="宋体" w:eastAsia="宋体" w:cs="宋体"/>
                      <w:bCs/>
                      <w:color w:val="auto"/>
                      <w:sz w:val="21"/>
                      <w:szCs w:val="21"/>
                    </w:rPr>
                    <w:t>、定期清运</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c>
                <w:tcPr>
                  <w:tcW w:w="1319"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绿化</w:t>
                  </w:r>
                </w:p>
              </w:tc>
              <w:tc>
                <w:tcPr>
                  <w:tcW w:w="43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hAnsi="宋体" w:eastAsia="宋体" w:cs="宋体"/>
                      <w:bCs/>
                      <w:color w:val="auto"/>
                      <w:sz w:val="21"/>
                      <w:szCs w:val="21"/>
                    </w:rPr>
                  </w:pPr>
                  <w:r>
                    <w:rPr>
                      <w:rFonts w:hint="eastAsia" w:hAnsi="宋体" w:eastAsia="宋体" w:cs="宋体"/>
                      <w:bCs/>
                      <w:color w:val="auto"/>
                      <w:sz w:val="21"/>
                      <w:szCs w:val="21"/>
                    </w:rPr>
                    <w:t>绿化、景观</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9" w:type="dxa"/>
                  <w:gridSpan w:val="3"/>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合计</w:t>
                  </w:r>
                </w:p>
              </w:tc>
              <w:tc>
                <w:tcPr>
                  <w:tcW w:w="2246"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75</w:t>
                  </w:r>
                </w:p>
              </w:tc>
            </w:tr>
          </w:tbl>
          <w:p>
            <w:pPr>
              <w:jc w:val="center"/>
              <w:rPr>
                <w:rFonts w:hint="eastAsia"/>
                <w:b/>
                <w:bCs/>
                <w:color w:val="auto"/>
                <w:sz w:val="21"/>
                <w:szCs w:val="21"/>
                <w:highlight w:val="none"/>
                <w:lang w:val="en-US" w:eastAsia="zh-CN"/>
              </w:rPr>
            </w:pPr>
            <w:r>
              <w:rPr>
                <w:rFonts w:hint="eastAsia"/>
                <w:b/>
                <w:bCs/>
                <w:color w:val="auto"/>
                <w:kern w:val="0"/>
                <w:sz w:val="21"/>
                <w:szCs w:val="21"/>
                <w:highlight w:val="none"/>
                <w:lang w:val="en-US" w:eastAsia="zh-CN"/>
              </w:rPr>
              <w:t>表3-2</w:t>
            </w:r>
            <w:r>
              <w:rPr>
                <w:rFonts w:hint="eastAsia"/>
                <w:b/>
                <w:bCs/>
                <w:color w:val="auto"/>
                <w:sz w:val="21"/>
                <w:szCs w:val="21"/>
                <w:highlight w:val="none"/>
                <w:lang w:val="en-US" w:eastAsia="zh-CN"/>
              </w:rPr>
              <w:t>项目环保措施“三同时”验收一览表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780"/>
              <w:gridCol w:w="3499"/>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shd w:val="clear" w:color="auto" w:fill="92D050"/>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780" w:type="dxa"/>
                  <w:shd w:val="clear" w:color="auto" w:fill="92D050"/>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类别</w:t>
                  </w:r>
                </w:p>
              </w:tc>
              <w:tc>
                <w:tcPr>
                  <w:tcW w:w="7391" w:type="dxa"/>
                  <w:gridSpan w:val="2"/>
                  <w:shd w:val="clear" w:color="auto" w:fill="92D050"/>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780"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废气</w:t>
                  </w:r>
                </w:p>
              </w:tc>
              <w:tc>
                <w:tcPr>
                  <w:tcW w:w="3499"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Times New Roman" w:hAnsi="Times New Roman" w:eastAsia="宋体" w:cs="Times New Roman"/>
                      <w:snapToGrid w:val="0"/>
                      <w:color w:val="auto"/>
                      <w:kern w:val="0"/>
                      <w:sz w:val="21"/>
                      <w:szCs w:val="21"/>
                      <w:highlight w:val="green"/>
                      <w:lang w:val="en-US" w:eastAsia="zh-CN"/>
                    </w:rPr>
                  </w:pPr>
                  <w:r>
                    <w:rPr>
                      <w:rFonts w:hint="eastAsia" w:cs="Times New Roman"/>
                      <w:snapToGrid w:val="0"/>
                      <w:color w:val="auto"/>
                      <w:kern w:val="0"/>
                      <w:sz w:val="21"/>
                      <w:szCs w:val="21"/>
                      <w:highlight w:val="none"/>
                      <w:lang w:val="en-US" w:eastAsia="zh-CN"/>
                    </w:rPr>
                    <w:t>项目工程建设期间：各类建筑材料及设备运输过程中要采取密闭措施，防止扬尘对环境造成影响。</w:t>
                  </w:r>
                </w:p>
              </w:tc>
              <w:tc>
                <w:tcPr>
                  <w:tcW w:w="389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cs="Times New Roman"/>
                      <w:snapToGrid w:val="0"/>
                      <w:color w:val="auto"/>
                      <w:kern w:val="0"/>
                      <w:sz w:val="21"/>
                      <w:szCs w:val="21"/>
                      <w:highlight w:val="none"/>
                      <w:shd w:val="clear"/>
                      <w:lang w:val="en-US" w:eastAsia="zh-CN"/>
                    </w:rPr>
                  </w:pPr>
                  <w:r>
                    <w:rPr>
                      <w:rFonts w:hint="eastAsia" w:cs="Times New Roman"/>
                      <w:snapToGrid w:val="0"/>
                      <w:color w:val="auto"/>
                      <w:kern w:val="0"/>
                      <w:sz w:val="21"/>
                      <w:szCs w:val="21"/>
                      <w:highlight w:val="none"/>
                      <w:shd w:val="clear"/>
                      <w:lang w:val="en-US" w:eastAsia="zh-CN"/>
                    </w:rPr>
                    <w:t>运营期</w:t>
                  </w:r>
                  <w:r>
                    <w:rPr>
                      <w:rFonts w:hint="eastAsia" w:ascii="Times New Roman" w:hAnsi="Times New Roman" w:eastAsia="宋体" w:cs="Times New Roman"/>
                      <w:snapToGrid w:val="0"/>
                      <w:color w:val="auto"/>
                      <w:kern w:val="0"/>
                      <w:sz w:val="21"/>
                      <w:szCs w:val="21"/>
                      <w:highlight w:val="none"/>
                      <w:shd w:val="clear"/>
                      <w:lang w:val="en-US" w:eastAsia="zh-CN"/>
                    </w:rPr>
                    <w:t>本项目废气主要为汽车尾气。停车场在</w:t>
                  </w:r>
                  <w:r>
                    <w:rPr>
                      <w:rFonts w:hint="eastAsia" w:cs="Times New Roman"/>
                      <w:snapToGrid w:val="0"/>
                      <w:color w:val="auto"/>
                      <w:kern w:val="0"/>
                      <w:sz w:val="21"/>
                      <w:szCs w:val="21"/>
                      <w:highlight w:val="none"/>
                      <w:shd w:val="clear"/>
                      <w:lang w:val="en-US" w:eastAsia="zh-CN"/>
                    </w:rPr>
                    <w:t>学生宿舍楼下负一层设置排气管道</w:t>
                  </w:r>
                  <w:r>
                    <w:rPr>
                      <w:rFonts w:hint="eastAsia" w:ascii="Times New Roman" w:hAnsi="Times New Roman" w:eastAsia="宋体" w:cs="Times New Roman"/>
                      <w:snapToGrid w:val="0"/>
                      <w:color w:val="auto"/>
                      <w:kern w:val="0"/>
                      <w:sz w:val="21"/>
                      <w:szCs w:val="21"/>
                      <w:highlight w:val="none"/>
                      <w:shd w:val="clear"/>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2</w:t>
                  </w:r>
                </w:p>
              </w:tc>
              <w:tc>
                <w:tcPr>
                  <w:tcW w:w="780"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废水</w:t>
                  </w:r>
                </w:p>
              </w:tc>
              <w:tc>
                <w:tcPr>
                  <w:tcW w:w="3499"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项目工程建设期间</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施工废水经沉淀池处理后回用不外排</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施工人员生活污水进入化粪池处理后外排</w:t>
                  </w:r>
                  <w:r>
                    <w:rPr>
                      <w:rFonts w:hint="eastAsia" w:cs="Times New Roman"/>
                      <w:color w:val="auto"/>
                      <w:sz w:val="21"/>
                      <w:szCs w:val="21"/>
                      <w:highlight w:val="none"/>
                      <w:lang w:val="en-US" w:eastAsia="zh-CN"/>
                    </w:rPr>
                    <w:t>。</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要实行雨污分流,污水经化粪池预处理后，排入市政污水管网，污水排放标准执行《污水综合排放标准》(GB8978-1996)中三级标准。</w:t>
                  </w:r>
                </w:p>
              </w:tc>
              <w:tc>
                <w:tcPr>
                  <w:tcW w:w="389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kern w:val="0"/>
                      <w:sz w:val="21"/>
                      <w:szCs w:val="21"/>
                      <w:highlight w:val="none"/>
                      <w:shd w:val="clear"/>
                      <w:lang w:val="en-US" w:eastAsia="zh-CN"/>
                    </w:rPr>
                    <w:t>运营期</w:t>
                  </w:r>
                  <w:r>
                    <w:rPr>
                      <w:rFonts w:hint="default" w:ascii="Times New Roman" w:hAnsi="Times New Roman" w:eastAsia="宋体" w:cs="Times New Roman"/>
                      <w:color w:val="auto"/>
                      <w:sz w:val="21"/>
                      <w:szCs w:val="21"/>
                      <w:highlight w:val="none"/>
                      <w:lang w:val="en-US" w:eastAsia="zh-CN"/>
                    </w:rPr>
                    <w:t>本项目为学校，无生产废水，营运期废水主要为学生与教职工产生的生活污水。排水系统实行雨污分流，生活污水经化粪池预处理后纳入市政污水管网，送至污水处理厂处理。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780"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固废</w:t>
                  </w:r>
                </w:p>
              </w:tc>
              <w:tc>
                <w:tcPr>
                  <w:tcW w:w="3499"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项目工程建设期间</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固体废物要集中堆放，统一处理，严防乱抛、乱撒。</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固体废物、生活垃圾集中收集后送垃圾处理厂处置</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防止产生二次污染。</w:t>
                  </w:r>
                </w:p>
              </w:tc>
              <w:tc>
                <w:tcPr>
                  <w:tcW w:w="389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固废主要为师生日常生活产生的生活垃圾，采用密闭垃圾桶对生活垃圾进行袋装分类收集，送填埋场作无害化处理。对有利用价值的回收后综合利用，其它无利用价值的普通垃圾及时收集后进入项目区内垃圾临时收集点，由环卫部门统一及时清运处理，垃圾每天早、晚各收集一次，确保生活垃圾收集率达到100%。对本项目垃圾收集桶加强管理，保持其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w:t>
                  </w:r>
                </w:p>
              </w:tc>
              <w:tc>
                <w:tcPr>
                  <w:tcW w:w="780"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噪声</w:t>
                  </w:r>
                </w:p>
              </w:tc>
              <w:tc>
                <w:tcPr>
                  <w:tcW w:w="3499"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项目工程建设期间</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施工以及设备安装尽量避开群众休息时间</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防止因施工给群众正常生产生活带来影响，午间</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中午十二点至十四点</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和夜间(晚二十二点至晨六点)施工须经环保部门批准后方可实施</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施工期执行《建筑施工场界噪声限值》</w:t>
                  </w:r>
                  <w:r>
                    <w:rPr>
                      <w:rFonts w:hint="eastAsia"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color w:val="auto"/>
                      <w:sz w:val="21"/>
                      <w:szCs w:val="21"/>
                      <w:highlight w:val="none"/>
                      <w:lang w:val="en-US" w:eastAsia="zh-CN"/>
                    </w:rPr>
                    <w:t>B12523-2011</w:t>
                  </w:r>
                  <w:r>
                    <w:rPr>
                      <w:rFonts w:hint="eastAsia" w:ascii="Times New Roman" w:hAnsi="Times New Roman" w:eastAsia="宋体" w:cs="Times New Roman"/>
                      <w:color w:val="auto"/>
                      <w:sz w:val="21"/>
                      <w:szCs w:val="21"/>
                      <w:highlight w:val="none"/>
                      <w:lang w:val="en-US" w:eastAsia="zh-CN"/>
                    </w:rPr>
                    <w:t>）</w:t>
                  </w:r>
                </w:p>
              </w:tc>
              <w:tc>
                <w:tcPr>
                  <w:tcW w:w="3892"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本项目运营期噪声主要来自于配电房、水泵房、机动车及社会活动噪声。通过合理调整平面规划</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配电房与水泵房在专门的设备房内，设备安装减震基座。所有入室窗户均采用中空隔声玻璃，现场通过充分利用建筑物隔声，增加绿化、车辆减速、距离衰减等措施进行隔声降噪。</w:t>
                  </w:r>
                </w:p>
              </w:tc>
            </w:tr>
          </w:tbl>
          <w:p>
            <w:pPr>
              <w:pStyle w:val="9"/>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bCs/>
                <w:color w:val="auto"/>
                <w:kern w:val="0"/>
                <w:sz w:val="21"/>
                <w:szCs w:val="21"/>
                <w:highlight w:val="green"/>
                <w:lang w:val="en-US" w:eastAsia="zh-CN"/>
              </w:rPr>
            </w:pPr>
          </w:p>
        </w:tc>
      </w:tr>
    </w:tbl>
    <w:p>
      <w:pPr>
        <w:pStyle w:val="4"/>
        <w:rPr>
          <w:rFonts w:hint="eastAsia"/>
          <w:b/>
          <w:bCs/>
          <w:color w:val="auto"/>
          <w:highlight w:val="green"/>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lang w:val="en-US" w:eastAsia="zh-CN"/>
        </w:rPr>
        <w:t>表四：</w:t>
      </w:r>
      <w:r>
        <w:rPr>
          <w:rFonts w:hint="eastAsia" w:ascii="仿宋" w:hAnsi="仿宋" w:eastAsia="仿宋" w:cs="仿宋"/>
          <w:b/>
          <w:bCs/>
          <w:color w:val="auto"/>
          <w:highlight w:val="none"/>
        </w:rPr>
        <w:t>监测质量控制和质量保证</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1" w:hRule="atLeast"/>
          <w:jc w:val="center"/>
        </w:trPr>
        <w:tc>
          <w:tcPr>
            <w:tcW w:w="9354" w:type="dxa"/>
            <w:vAlign w:val="top"/>
          </w:tcPr>
          <w:p>
            <w:pPr>
              <w:spacing w:before="48" w:beforeLines="20" w:line="360" w:lineRule="auto"/>
              <w:rPr>
                <w:rFonts w:hint="eastAsia" w:eastAsia="宋体"/>
                <w:b/>
                <w:bCs/>
                <w:color w:val="auto"/>
                <w:sz w:val="24"/>
                <w:szCs w:val="21"/>
                <w:highlight w:val="none"/>
              </w:rPr>
            </w:pPr>
            <w:r>
              <w:rPr>
                <w:rFonts w:hint="eastAsia" w:hAnsi="宋体" w:eastAsia="宋体"/>
                <w:b/>
                <w:bCs/>
                <w:color w:val="auto"/>
                <w:sz w:val="24"/>
                <w:szCs w:val="21"/>
                <w:highlight w:val="none"/>
              </w:rPr>
              <w:t>验收监测质量保证及质量控制：</w:t>
            </w:r>
          </w:p>
          <w:p>
            <w:pPr>
              <w:spacing w:line="360" w:lineRule="auto"/>
              <w:ind w:firstLine="482" w:firstLineChars="200"/>
              <w:rPr>
                <w:rFonts w:hint="eastAsia"/>
                <w:b/>
                <w:bCs/>
                <w:color w:val="auto"/>
                <w:sz w:val="24"/>
                <w:szCs w:val="24"/>
                <w:highlight w:val="none"/>
                <w:lang w:val="en-US" w:eastAsia="zh-CN"/>
              </w:rPr>
            </w:pPr>
            <w:r>
              <w:rPr>
                <w:rFonts w:hint="eastAsia"/>
                <w:b/>
                <w:bCs/>
                <w:color w:val="auto"/>
                <w:sz w:val="24"/>
                <w:szCs w:val="24"/>
                <w:highlight w:val="none"/>
                <w:lang w:val="en-US" w:eastAsia="zh-CN"/>
              </w:rPr>
              <w:t>1、监测质量控制及质量保证</w:t>
            </w:r>
          </w:p>
          <w:p>
            <w:pPr>
              <w:spacing w:line="360" w:lineRule="auto"/>
              <w:ind w:firstLine="480" w:firstLineChars="200"/>
              <w:rPr>
                <w:color w:val="auto"/>
                <w:sz w:val="24"/>
                <w:szCs w:val="24"/>
                <w:highlight w:val="none"/>
              </w:rPr>
            </w:pPr>
            <w:r>
              <w:rPr>
                <w:rFonts w:eastAsia="宋体"/>
                <w:color w:val="auto"/>
                <w:sz w:val="24"/>
                <w:szCs w:val="24"/>
                <w:highlight w:val="none"/>
              </w:rPr>
              <w:t>（</w:t>
            </w:r>
            <w:r>
              <w:rPr>
                <w:rFonts w:hint="eastAsia"/>
                <w:color w:val="auto"/>
                <w:sz w:val="24"/>
                <w:szCs w:val="24"/>
                <w:highlight w:val="none"/>
                <w:lang w:val="en-US" w:eastAsia="zh-CN"/>
              </w:rPr>
              <w:t>1</w:t>
            </w:r>
            <w:r>
              <w:rPr>
                <w:rFonts w:eastAsia="宋体"/>
                <w:color w:val="auto"/>
                <w:sz w:val="24"/>
                <w:szCs w:val="24"/>
                <w:highlight w:val="none"/>
              </w:rPr>
              <w:t>）本次验收监测样品的采集、运输、分析及监测结果的分析评价均按国家环保总局颁布的《环境监测质量保证管理规定》、《环境监测技术规范》</w:t>
            </w:r>
            <w:r>
              <w:rPr>
                <w:rFonts w:hint="eastAsia" w:eastAsia="宋体"/>
                <w:color w:val="auto"/>
                <w:sz w:val="24"/>
                <w:szCs w:val="24"/>
                <w:highlight w:val="none"/>
              </w:rPr>
              <w:t>、《排污单位自行监测技术指南 总则》</w:t>
            </w:r>
            <w:r>
              <w:rPr>
                <w:rFonts w:eastAsia="宋体"/>
                <w:color w:val="auto"/>
                <w:sz w:val="24"/>
                <w:szCs w:val="24"/>
                <w:highlight w:val="none"/>
              </w:rPr>
              <w:t>的要求进行，实行从现场采样到数据出报全程序质量控制。</w:t>
            </w:r>
          </w:p>
          <w:p>
            <w:pPr>
              <w:bidi w:val="0"/>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合理布置监测点位，保证各监测点位布设的科学性和可比性。</w:t>
            </w:r>
          </w:p>
          <w:p>
            <w:pPr>
              <w:spacing w:line="360" w:lineRule="auto"/>
              <w:ind w:firstLine="480" w:firstLineChars="200"/>
              <w:rPr>
                <w:rFonts w:eastAsia="宋体"/>
                <w:color w:val="auto"/>
                <w:sz w:val="24"/>
                <w:szCs w:val="24"/>
                <w:highlight w:val="none"/>
              </w:rPr>
            </w:pPr>
            <w:r>
              <w:rPr>
                <w:rFonts w:eastAsia="宋体"/>
                <w:color w:val="auto"/>
                <w:sz w:val="24"/>
                <w:szCs w:val="24"/>
                <w:highlight w:val="none"/>
              </w:rPr>
              <w:t>（3）监测人员持证上岗，严格控制现场监测质量。</w:t>
            </w:r>
          </w:p>
          <w:p>
            <w:pPr>
              <w:pStyle w:val="22"/>
              <w:spacing w:before="48" w:beforeLines="20" w:line="360" w:lineRule="auto"/>
              <w:ind w:firstLine="480"/>
              <w:rPr>
                <w:rFonts w:hint="eastAsia" w:eastAsia="仿宋_GB2312"/>
                <w:color w:val="auto"/>
                <w:sz w:val="24"/>
                <w:szCs w:val="21"/>
                <w:highlight w:val="none"/>
              </w:rPr>
            </w:pPr>
            <w:r>
              <w:rPr>
                <w:color w:val="auto"/>
                <w:sz w:val="24"/>
                <w:szCs w:val="24"/>
                <w:highlight w:val="none"/>
              </w:rPr>
              <w:t>（</w:t>
            </w:r>
            <w:r>
              <w:rPr>
                <w:rFonts w:hint="eastAsia"/>
                <w:color w:val="auto"/>
                <w:sz w:val="24"/>
                <w:szCs w:val="24"/>
                <w:highlight w:val="none"/>
                <w:lang w:val="en-US" w:eastAsia="zh-CN"/>
              </w:rPr>
              <w:t>4</w:t>
            </w:r>
            <w:r>
              <w:rPr>
                <w:color w:val="auto"/>
                <w:sz w:val="24"/>
                <w:szCs w:val="24"/>
                <w:highlight w:val="none"/>
              </w:rPr>
              <w:t>）监测记录、监测结果和监测报告执行三级审核制度。</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cs="Times New Roman"/>
                <w:b/>
                <w:bCs/>
                <w:color w:val="auto"/>
                <w:sz w:val="24"/>
                <w:szCs w:val="24"/>
                <w:highlight w:val="none"/>
                <w:vertAlign w:val="baseline"/>
                <w:lang w:val="en-US" w:eastAsia="zh-CN"/>
              </w:rPr>
            </w:pPr>
            <w:r>
              <w:rPr>
                <w:rFonts w:hint="eastAsia" w:cs="Times New Roman"/>
                <w:b/>
                <w:bCs/>
                <w:color w:val="auto"/>
                <w:sz w:val="24"/>
                <w:szCs w:val="24"/>
                <w:highlight w:val="none"/>
                <w:vertAlign w:val="baseline"/>
                <w:lang w:val="en-US" w:eastAsia="zh-CN"/>
              </w:rPr>
              <w:t>2、监测分析方法及监测仪器</w:t>
            </w:r>
          </w:p>
          <w:p>
            <w:pPr>
              <w:bidi w:val="0"/>
              <w:ind w:firstLine="480" w:firstLineChars="200"/>
              <w:rPr>
                <w:rFonts w:hint="default"/>
                <w:color w:val="auto"/>
                <w:highlight w:val="none"/>
                <w:lang w:val="en-US" w:eastAsia="zh-CN"/>
              </w:rPr>
            </w:pPr>
            <w:r>
              <w:rPr>
                <w:rFonts w:hint="eastAsia"/>
                <w:color w:val="auto"/>
                <w:highlight w:val="none"/>
                <w:lang w:val="en-US" w:eastAsia="zh-CN"/>
              </w:rPr>
              <w:t>本项目各项监测因子的监测方法及检测仪器见表4-1，仪器情况一览表见表4-2。</w:t>
            </w:r>
          </w:p>
          <w:p>
            <w:pPr>
              <w:bidi w:val="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表4-1 项目监测分析方法一览表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473"/>
              <w:gridCol w:w="3659"/>
              <w:gridCol w:w="2519"/>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3"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sz w:val="21"/>
                      <w:szCs w:val="21"/>
                      <w:highlight w:val="none"/>
                      <w:u w:val="none"/>
                    </w:rPr>
                  </w:pPr>
                  <w:r>
                    <w:rPr>
                      <w:rFonts w:hint="default" w:ascii="Times New Roman" w:hAnsi="Times New Roman" w:eastAsia="宋体" w:cs="Times New Roman"/>
                      <w:b/>
                      <w:bCs/>
                      <w:i w:val="0"/>
                      <w:color w:val="auto"/>
                      <w:kern w:val="0"/>
                      <w:sz w:val="21"/>
                      <w:szCs w:val="21"/>
                      <w:highlight w:val="none"/>
                      <w:u w:val="none"/>
                      <w:lang w:val="en-US" w:eastAsia="zh-CN" w:bidi="ar"/>
                    </w:rPr>
                    <w:t>检测项目</w:t>
                  </w:r>
                </w:p>
              </w:tc>
              <w:tc>
                <w:tcPr>
                  <w:tcW w:w="3659"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sz w:val="21"/>
                      <w:szCs w:val="21"/>
                      <w:highlight w:val="none"/>
                      <w:u w:val="none"/>
                    </w:rPr>
                  </w:pPr>
                  <w:r>
                    <w:rPr>
                      <w:rFonts w:hint="default" w:ascii="Times New Roman" w:hAnsi="Times New Roman" w:eastAsia="宋体" w:cs="Times New Roman"/>
                      <w:b/>
                      <w:bCs/>
                      <w:i w:val="0"/>
                      <w:color w:val="auto"/>
                      <w:kern w:val="0"/>
                      <w:sz w:val="21"/>
                      <w:szCs w:val="21"/>
                      <w:highlight w:val="none"/>
                      <w:u w:val="none"/>
                      <w:lang w:val="en-US" w:eastAsia="zh-CN" w:bidi="ar"/>
                    </w:rPr>
                    <w:t>分析方法</w:t>
                  </w:r>
                </w:p>
              </w:tc>
              <w:tc>
                <w:tcPr>
                  <w:tcW w:w="2519"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sz w:val="21"/>
                      <w:szCs w:val="21"/>
                      <w:highlight w:val="none"/>
                      <w:u w:val="none"/>
                    </w:rPr>
                  </w:pPr>
                  <w:r>
                    <w:rPr>
                      <w:rFonts w:hint="default" w:ascii="Times New Roman" w:hAnsi="Times New Roman" w:eastAsia="宋体" w:cs="Times New Roman"/>
                      <w:b/>
                      <w:bCs/>
                      <w:i w:val="0"/>
                      <w:color w:val="auto"/>
                      <w:kern w:val="0"/>
                      <w:sz w:val="21"/>
                      <w:szCs w:val="21"/>
                      <w:highlight w:val="none"/>
                      <w:u w:val="none"/>
                      <w:lang w:val="en-US" w:eastAsia="zh-CN" w:bidi="ar"/>
                    </w:rPr>
                    <w:t>检测仪器</w:t>
                  </w:r>
                </w:p>
              </w:tc>
              <w:tc>
                <w:tcPr>
                  <w:tcW w:w="1477"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highlight w:val="none"/>
                      <w:u w:val="none"/>
                      <w:lang w:val="en-US" w:eastAsia="zh-CN" w:bidi="ar"/>
                    </w:rPr>
                  </w:pPr>
                  <w:r>
                    <w:rPr>
                      <w:rFonts w:hint="default" w:ascii="Times New Roman" w:hAnsi="Times New Roman" w:eastAsia="宋体" w:cs="Times New Roman"/>
                      <w:b/>
                      <w:bCs/>
                      <w:i w:val="0"/>
                      <w:color w:val="auto"/>
                      <w:kern w:val="0"/>
                      <w:sz w:val="21"/>
                      <w:szCs w:val="21"/>
                      <w:highlight w:val="none"/>
                      <w:u w:val="none"/>
                      <w:lang w:val="en-US" w:eastAsia="zh-CN" w:bidi="ar"/>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1473" w:type="dxa"/>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sz w:val="21"/>
                      <w:szCs w:val="21"/>
                      <w:highlight w:val="none"/>
                      <w:lang w:val="en-US" w:eastAsia="zh-CN"/>
                    </w:rPr>
                    <w:t>环境噪声</w:t>
                  </w:r>
                </w:p>
              </w:tc>
              <w:tc>
                <w:tcPr>
                  <w:tcW w:w="3659" w:type="dxa"/>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声环境质量标准</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 xml:space="preserve">GB </w:t>
                  </w:r>
                  <w:r>
                    <w:rPr>
                      <w:rFonts w:hint="eastAsia" w:cs="Times New Roman"/>
                      <w:b w:val="0"/>
                      <w:bCs w:val="0"/>
                      <w:color w:val="auto"/>
                      <w:kern w:val="0"/>
                      <w:sz w:val="21"/>
                      <w:szCs w:val="21"/>
                      <w:highlight w:val="none"/>
                      <w:lang w:val="en-US" w:eastAsia="zh-CN"/>
                    </w:rPr>
                    <w:t>3096</w:t>
                  </w:r>
                  <w:r>
                    <w:rPr>
                      <w:rFonts w:hint="default" w:ascii="Times New Roman" w:hAnsi="Times New Roman" w:eastAsia="宋体" w:cs="Times New Roman"/>
                      <w:b w:val="0"/>
                      <w:bCs w:val="0"/>
                      <w:color w:val="auto"/>
                      <w:kern w:val="0"/>
                      <w:sz w:val="21"/>
                      <w:szCs w:val="21"/>
                      <w:highlight w:val="none"/>
                    </w:rPr>
                    <w:t>-2008</w:t>
                  </w:r>
                </w:p>
              </w:tc>
              <w:tc>
                <w:tcPr>
                  <w:tcW w:w="25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2"/>
                      <w:sz w:val="21"/>
                      <w:szCs w:val="21"/>
                      <w:highlight w:val="none"/>
                      <w:u w:val="none"/>
                      <w:lang w:val="en-US" w:eastAsia="zh-CN" w:bidi="ar-SA"/>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HS62</w:t>
                  </w:r>
                  <w:r>
                    <w:rPr>
                      <w:rFonts w:hint="eastAsia" w:cs="Times New Roman"/>
                      <w:b w:val="0"/>
                      <w:bCs w:val="0"/>
                      <w:i w:val="0"/>
                      <w:iCs w:val="0"/>
                      <w:color w:val="auto"/>
                      <w:kern w:val="0"/>
                      <w:sz w:val="21"/>
                      <w:szCs w:val="21"/>
                      <w:highlight w:val="none"/>
                      <w:u w:val="none"/>
                      <w:lang w:val="en-US" w:eastAsia="zh-CN" w:bidi="ar"/>
                    </w:rPr>
                    <w:t>9</w:t>
                  </w:r>
                  <w:r>
                    <w:rPr>
                      <w:rFonts w:hint="default" w:ascii="Times New Roman" w:hAnsi="Times New Roman" w:eastAsia="宋体" w:cs="Times New Roman"/>
                      <w:b w:val="0"/>
                      <w:bCs w:val="0"/>
                      <w:i w:val="0"/>
                      <w:iCs w:val="0"/>
                      <w:color w:val="auto"/>
                      <w:kern w:val="0"/>
                      <w:sz w:val="21"/>
                      <w:szCs w:val="21"/>
                      <w:highlight w:val="none"/>
                      <w:u w:val="none"/>
                      <w:lang w:val="en-US" w:eastAsia="zh-CN" w:bidi="ar"/>
                    </w:rPr>
                    <w:t>8</w:t>
                  </w:r>
                  <w:r>
                    <w:rPr>
                      <w:rFonts w:hint="eastAsia" w:cs="Times New Roman"/>
                      <w:b w:val="0"/>
                      <w:bCs w:val="0"/>
                      <w:i w:val="0"/>
                      <w:iCs w:val="0"/>
                      <w:color w:val="auto"/>
                      <w:kern w:val="0"/>
                      <w:sz w:val="21"/>
                      <w:szCs w:val="21"/>
                      <w:highlight w:val="none"/>
                      <w:u w:val="none"/>
                      <w:lang w:val="en-US" w:eastAsia="zh-CN" w:bidi="ar"/>
                    </w:rPr>
                    <w:t xml:space="preserve"> </w:t>
                  </w:r>
                  <w:r>
                    <w:rPr>
                      <w:rFonts w:hint="default" w:ascii="Times New Roman" w:hAnsi="Times New Roman" w:eastAsia="宋体" w:cs="Times New Roman"/>
                      <w:b w:val="0"/>
                      <w:bCs w:val="0"/>
                      <w:i w:val="0"/>
                      <w:iCs w:val="0"/>
                      <w:color w:val="auto"/>
                      <w:kern w:val="0"/>
                      <w:sz w:val="21"/>
                      <w:szCs w:val="21"/>
                      <w:highlight w:val="none"/>
                      <w:u w:val="none"/>
                      <w:lang w:val="en-US" w:eastAsia="zh-CN" w:bidi="ar"/>
                    </w:rPr>
                    <w:t>多功能噪声分析仪 （AHHF-</w:t>
                  </w:r>
                  <w:r>
                    <w:rPr>
                      <w:rFonts w:hint="eastAsia" w:cs="Times New Roman"/>
                      <w:b w:val="0"/>
                      <w:bCs w:val="0"/>
                      <w:i w:val="0"/>
                      <w:iCs w:val="0"/>
                      <w:color w:val="auto"/>
                      <w:kern w:val="0"/>
                      <w:sz w:val="21"/>
                      <w:szCs w:val="21"/>
                      <w:highlight w:val="none"/>
                      <w:u w:val="none"/>
                      <w:lang w:val="en-US" w:eastAsia="zh-CN" w:bidi="ar"/>
                    </w:rPr>
                    <w:t>135</w:t>
                  </w:r>
                  <w:r>
                    <w:rPr>
                      <w:rFonts w:hint="default" w:ascii="Times New Roman" w:hAnsi="Times New Roman" w:eastAsia="宋体" w:cs="Times New Roman"/>
                      <w:b w:val="0"/>
                      <w:bCs w:val="0"/>
                      <w:i w:val="0"/>
                      <w:iCs w:val="0"/>
                      <w:color w:val="auto"/>
                      <w:kern w:val="0"/>
                      <w:sz w:val="21"/>
                      <w:szCs w:val="21"/>
                      <w:highlight w:val="none"/>
                      <w:u w:val="none"/>
                      <w:lang w:val="en-US" w:eastAsia="zh-CN" w:bidi="ar"/>
                    </w:rPr>
                    <w:t>）</w:t>
                  </w:r>
                </w:p>
              </w:tc>
              <w:tc>
                <w:tcPr>
                  <w:tcW w:w="1477" w:type="dxa"/>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rPr>
                      <w:rFonts w:hint="default" w:ascii="Times New Roman" w:hAnsi="Times New Roman" w:eastAsia="宋体" w:cs="Times New Roman"/>
                      <w:b w:val="0"/>
                      <w:bCs w:val="0"/>
                      <w:i w:val="0"/>
                      <w:color w:val="auto"/>
                      <w:kern w:val="2"/>
                      <w:sz w:val="21"/>
                      <w:szCs w:val="21"/>
                      <w:highlight w:val="none"/>
                      <w:u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rPr>
                    <w:t>dB(A)</w:t>
                  </w:r>
                  <w:r>
                    <w:rPr>
                      <w:rFonts w:hint="default" w:ascii="Times New Roman" w:hAnsi="Times New Roman" w:eastAsia="宋体" w:cs="Times New Roman"/>
                      <w:b w:val="0"/>
                      <w:bCs w:val="0"/>
                      <w:color w:val="auto"/>
                      <w:sz w:val="21"/>
                      <w:szCs w:val="21"/>
                      <w:highlight w:val="none"/>
                      <w:lang w:val="en-US" w:eastAsia="zh-CN"/>
                    </w:rPr>
                    <w:t>）</w:t>
                  </w:r>
                </w:p>
              </w:tc>
            </w:tr>
          </w:tbl>
          <w:p>
            <w:pPr>
              <w:bidi w:val="0"/>
              <w:jc w:val="center"/>
              <w:rPr>
                <w:rFonts w:hint="eastAsia"/>
                <w:b/>
                <w:bCs/>
                <w:color w:val="auto"/>
                <w:sz w:val="21"/>
                <w:szCs w:val="21"/>
                <w:highlight w:val="red"/>
                <w:lang w:val="en-US" w:eastAsia="zh-CN"/>
              </w:rPr>
            </w:pPr>
            <w:r>
              <w:rPr>
                <w:rFonts w:hint="eastAsia"/>
                <w:b/>
                <w:bCs/>
                <w:color w:val="auto"/>
                <w:sz w:val="21"/>
                <w:szCs w:val="21"/>
                <w:highlight w:val="none"/>
                <w:lang w:val="en-US" w:eastAsia="zh-CN"/>
              </w:rPr>
              <w:t>表4-2 仪器情况一览表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567"/>
              <w:gridCol w:w="1125"/>
              <w:gridCol w:w="1260"/>
              <w:gridCol w:w="1815"/>
              <w:gridCol w:w="1515"/>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3" w:type="dxa"/>
                  <w:vMerge w:val="restart"/>
                  <w:noWrap w:val="0"/>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both"/>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监测仪器</w:t>
                  </w:r>
                </w:p>
              </w:tc>
              <w:tc>
                <w:tcPr>
                  <w:tcW w:w="1567" w:type="dxa"/>
                  <w:shd w:val="clear" w:color="auto" w:fill="92D050"/>
                  <w:noWrap w:val="0"/>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仪器名称</w:t>
                  </w:r>
                </w:p>
              </w:tc>
              <w:tc>
                <w:tcPr>
                  <w:tcW w:w="1125" w:type="dxa"/>
                  <w:shd w:val="clear" w:color="auto" w:fill="92D050"/>
                  <w:noWrap w:val="0"/>
                  <w:tcMar>
                    <w:top w:w="0" w:type="dxa"/>
                    <w:left w:w="28" w:type="dxa"/>
                    <w:bottom w:w="0" w:type="dxa"/>
                    <w:right w:w="28" w:type="dxa"/>
                  </w:tcMar>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仪器型号</w:t>
                  </w:r>
                </w:p>
              </w:tc>
              <w:tc>
                <w:tcPr>
                  <w:tcW w:w="1260" w:type="dxa"/>
                  <w:shd w:val="clear" w:color="auto" w:fill="92D050"/>
                  <w:noWrap w:val="0"/>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仪器编号</w:t>
                  </w:r>
                </w:p>
              </w:tc>
              <w:tc>
                <w:tcPr>
                  <w:tcW w:w="1815" w:type="dxa"/>
                  <w:shd w:val="clear" w:color="auto" w:fill="92D050"/>
                  <w:noWrap w:val="0"/>
                  <w:tcMar>
                    <w:top w:w="0" w:type="dxa"/>
                    <w:left w:w="28" w:type="dxa"/>
                    <w:bottom w:w="0" w:type="dxa"/>
                    <w:right w:w="28" w:type="dxa"/>
                  </w:tcMar>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证书编号</w:t>
                  </w:r>
                </w:p>
              </w:tc>
              <w:tc>
                <w:tcPr>
                  <w:tcW w:w="1515" w:type="dxa"/>
                  <w:shd w:val="clear" w:color="auto" w:fill="92D050"/>
                  <w:noWrap w:val="0"/>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检定到期日期</w:t>
                  </w:r>
                </w:p>
              </w:tc>
              <w:tc>
                <w:tcPr>
                  <w:tcW w:w="1173" w:type="dxa"/>
                  <w:shd w:val="clear" w:color="auto" w:fill="92D050"/>
                  <w:noWrap w:val="0"/>
                  <w:vAlign w:val="center"/>
                </w:tcPr>
                <w:p>
                  <w:pPr>
                    <w:keepNext w:val="0"/>
                    <w:keepLines w:val="0"/>
                    <w:pageBreakBefore w:val="0"/>
                    <w:tabs>
                      <w:tab w:val="left" w:pos="315"/>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3"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56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多功能噪声分析仪</w:t>
                  </w:r>
                </w:p>
              </w:tc>
              <w:tc>
                <w:tcPr>
                  <w:tcW w:w="1125"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HS62</w:t>
                  </w:r>
                  <w:r>
                    <w:rPr>
                      <w:rFonts w:hint="eastAsia" w:cs="Times New Roman"/>
                      <w:i w:val="0"/>
                      <w:iCs w:val="0"/>
                      <w:color w:val="auto"/>
                      <w:kern w:val="0"/>
                      <w:sz w:val="21"/>
                      <w:szCs w:val="21"/>
                      <w:highlight w:val="none"/>
                      <w:u w:val="none"/>
                      <w:lang w:val="en-US" w:eastAsia="zh-CN" w:bidi="ar"/>
                    </w:rPr>
                    <w:t>98</w:t>
                  </w:r>
                </w:p>
              </w:tc>
              <w:tc>
                <w:tcPr>
                  <w:tcW w:w="126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AHHF-</w:t>
                  </w:r>
                  <w:r>
                    <w:rPr>
                      <w:rFonts w:hint="eastAsia" w:cs="Times New Roman"/>
                      <w:i w:val="0"/>
                      <w:iCs w:val="0"/>
                      <w:color w:val="auto"/>
                      <w:kern w:val="0"/>
                      <w:sz w:val="21"/>
                      <w:szCs w:val="21"/>
                      <w:highlight w:val="none"/>
                      <w:u w:val="none"/>
                      <w:lang w:val="en-US" w:eastAsia="zh-CN" w:bidi="ar"/>
                    </w:rPr>
                    <w:t>135</w:t>
                  </w:r>
                </w:p>
              </w:tc>
              <w:tc>
                <w:tcPr>
                  <w:tcW w:w="18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LX2023B-</w:t>
                  </w:r>
                  <w:r>
                    <w:rPr>
                      <w:rFonts w:hint="eastAsia" w:cs="Times New Roman"/>
                      <w:b w:val="0"/>
                      <w:bCs w:val="0"/>
                      <w:color w:val="auto"/>
                      <w:sz w:val="21"/>
                      <w:szCs w:val="21"/>
                      <w:highlight w:val="none"/>
                      <w:lang w:val="en-US" w:eastAsia="zh-CN"/>
                    </w:rPr>
                    <w:t>000393</w:t>
                  </w:r>
                </w:p>
              </w:tc>
              <w:tc>
                <w:tcPr>
                  <w:tcW w:w="1515"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color w:val="auto"/>
                      <w:sz w:val="21"/>
                      <w:szCs w:val="21"/>
                      <w:highlight w:val="none"/>
                      <w:lang w:val="en-US"/>
                    </w:rPr>
                  </w:pPr>
                  <w:r>
                    <w:rPr>
                      <w:rFonts w:hint="default"/>
                      <w:color w:val="auto"/>
                      <w:sz w:val="21"/>
                      <w:szCs w:val="21"/>
                      <w:highlight w:val="none"/>
                      <w:lang w:val="en-US"/>
                    </w:rPr>
                    <w:t>2024.05.17</w:t>
                  </w:r>
                </w:p>
              </w:tc>
              <w:tc>
                <w:tcPr>
                  <w:tcW w:w="1173"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合格</w:t>
                  </w:r>
                </w:p>
              </w:tc>
            </w:tr>
          </w:tbl>
          <w:p>
            <w:pPr>
              <w:bidi w:val="0"/>
              <w:rPr>
                <w:rFonts w:hint="default"/>
                <w:color w:val="auto"/>
                <w:highlight w:val="green"/>
                <w:lang w:val="en-US" w:eastAsia="zh-CN"/>
              </w:rPr>
            </w:pP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lang w:val="en-US" w:eastAsia="zh-CN"/>
        </w:rPr>
        <w:t>表五 验收监测内容</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8" w:hRule="atLeast"/>
          <w:jc w:val="center"/>
        </w:trPr>
        <w:tc>
          <w:tcPr>
            <w:tcW w:w="9354" w:type="dxa"/>
            <w:vAlign w:val="top"/>
          </w:tcPr>
          <w:p>
            <w:pPr>
              <w:bidi w:val="0"/>
              <w:rPr>
                <w:rFonts w:hint="eastAsia"/>
                <w:b/>
                <w:bCs/>
                <w:color w:val="auto"/>
                <w:highlight w:val="none"/>
                <w:lang w:val="en-US" w:eastAsia="zh-CN"/>
              </w:rPr>
            </w:pPr>
            <w:r>
              <w:rPr>
                <w:rFonts w:hint="eastAsia"/>
                <w:b/>
                <w:bCs/>
                <w:color w:val="auto"/>
                <w:highlight w:val="none"/>
                <w:lang w:val="en-US" w:eastAsia="zh-CN"/>
              </w:rPr>
              <w:t>验收监测内容：</w:t>
            </w:r>
          </w:p>
          <w:p>
            <w:pPr>
              <w:keepNext w:val="0"/>
              <w:keepLines w:val="0"/>
              <w:pageBreakBefore w:val="0"/>
              <w:widowControl/>
              <w:numPr>
                <w:ilvl w:val="0"/>
                <w:numId w:val="0"/>
              </w:numPr>
              <w:kinsoku/>
              <w:wordWrap/>
              <w:overflowPunct/>
              <w:topLinePunct w:val="0"/>
              <w:autoSpaceDE/>
              <w:autoSpaceDN/>
              <w:bidi w:val="0"/>
              <w:adjustRightInd w:val="0"/>
              <w:snapToGrid w:val="0"/>
              <w:ind w:firstLine="482" w:firstLineChars="200"/>
              <w:jc w:val="left"/>
              <w:textAlignment w:val="auto"/>
              <w:rPr>
                <w:rFonts w:hint="eastAsia" w:ascii="Times New Roman" w:hAnsi="Times New Roman"/>
                <w:b/>
                <w:bCs/>
                <w:color w:val="auto"/>
                <w:kern w:val="0"/>
                <w:sz w:val="24"/>
              </w:rPr>
            </w:pPr>
            <w:r>
              <w:rPr>
                <w:rFonts w:hint="eastAsia"/>
                <w:b/>
                <w:bCs/>
                <w:color w:val="auto"/>
                <w:kern w:val="0"/>
                <w:sz w:val="24"/>
                <w:lang w:val="en-US" w:eastAsia="zh-CN"/>
              </w:rPr>
              <w:t>1、</w:t>
            </w:r>
            <w:r>
              <w:rPr>
                <w:rFonts w:hint="eastAsia" w:ascii="Times New Roman" w:hAnsi="Times New Roman"/>
                <w:b/>
                <w:bCs/>
                <w:color w:val="auto"/>
                <w:kern w:val="0"/>
                <w:sz w:val="24"/>
              </w:rPr>
              <w:t>噪声监测</w:t>
            </w:r>
          </w:p>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rPr>
            </w:pPr>
            <w:r>
              <w:rPr>
                <w:rFonts w:hint="eastAsia" w:ascii="Times New Roman" w:hAnsi="Times New Roman"/>
                <w:b/>
                <w:bCs/>
                <w:color w:val="auto"/>
                <w:kern w:val="0"/>
                <w:sz w:val="21"/>
                <w:szCs w:val="21"/>
              </w:rPr>
              <w:t>表</w:t>
            </w:r>
            <w:r>
              <w:rPr>
                <w:rFonts w:hint="eastAsia"/>
                <w:b/>
                <w:bCs/>
                <w:color w:val="auto"/>
                <w:kern w:val="0"/>
                <w:sz w:val="21"/>
                <w:szCs w:val="21"/>
                <w:lang w:val="en-US" w:eastAsia="zh-CN"/>
              </w:rPr>
              <w:t>5-1</w:t>
            </w:r>
            <w:r>
              <w:rPr>
                <w:rFonts w:hint="eastAsia" w:ascii="Times New Roman" w:hAnsi="Times New Roman"/>
                <w:b/>
                <w:bCs/>
                <w:color w:val="auto"/>
                <w:kern w:val="0"/>
                <w:sz w:val="21"/>
                <w:szCs w:val="21"/>
              </w:rPr>
              <w:t xml:space="preserve"> 噪声监测内容</w:t>
            </w:r>
          </w:p>
          <w:tbl>
            <w:tblPr>
              <w:tblStyle w:val="1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2332"/>
              <w:gridCol w:w="2975"/>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7"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监测点位</w:t>
                  </w:r>
                </w:p>
              </w:tc>
              <w:tc>
                <w:tcPr>
                  <w:tcW w:w="2332"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监测项目</w:t>
                  </w:r>
                </w:p>
              </w:tc>
              <w:tc>
                <w:tcPr>
                  <w:tcW w:w="2975"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监测频次</w:t>
                  </w:r>
                </w:p>
              </w:tc>
              <w:tc>
                <w:tcPr>
                  <w:tcW w:w="1487" w:type="dxa"/>
                  <w:shd w:val="clear" w:color="auto" w:fill="92D05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4#（1层、3层、6层）靠近道路一侧窗外1m</w:t>
                  </w:r>
                </w:p>
              </w:tc>
              <w:tc>
                <w:tcPr>
                  <w:tcW w:w="23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等效连续A声级</w:t>
                  </w:r>
                </w:p>
              </w:tc>
              <w:tc>
                <w:tcPr>
                  <w:tcW w:w="29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昼、夜各</w:t>
                  </w:r>
                  <w:r>
                    <w:rPr>
                      <w:rFonts w:hint="eastAsia" w:ascii="Times New Roman" w:hAnsi="Times New Roman" w:eastAsia="宋体" w:cs="Times New Roman"/>
                      <w:b w:val="0"/>
                      <w:bCs w:val="0"/>
                      <w:color w:val="auto"/>
                      <w:sz w:val="21"/>
                      <w:szCs w:val="21"/>
                    </w:rPr>
                    <w:t>1</w:t>
                  </w:r>
                  <w:r>
                    <w:rPr>
                      <w:rFonts w:ascii="Times New Roman" w:hAnsi="Times New Roman" w:eastAsia="宋体" w:cs="Times New Roman"/>
                      <w:b w:val="0"/>
                      <w:bCs w:val="0"/>
                      <w:color w:val="auto"/>
                      <w:sz w:val="21"/>
                      <w:szCs w:val="21"/>
                    </w:rPr>
                    <w:t>次，</w:t>
                  </w:r>
                  <w:r>
                    <w:rPr>
                      <w:rFonts w:hint="eastAsia" w:ascii="Times New Roman" w:hAnsi="Times New Roman" w:eastAsia="宋体" w:cs="Times New Roman"/>
                      <w:b w:val="0"/>
                      <w:bCs w:val="0"/>
                      <w:color w:val="auto"/>
                      <w:sz w:val="21"/>
                      <w:szCs w:val="21"/>
                    </w:rPr>
                    <w:t>连续</w:t>
                  </w:r>
                  <w:r>
                    <w:rPr>
                      <w:rFonts w:ascii="Times New Roman" w:hAnsi="Times New Roman" w:eastAsia="宋体" w:cs="Times New Roman"/>
                      <w:b w:val="0"/>
                      <w:bCs w:val="0"/>
                      <w:color w:val="auto"/>
                      <w:sz w:val="21"/>
                      <w:szCs w:val="21"/>
                    </w:rPr>
                    <w:t>监测2天</w:t>
                  </w:r>
                </w:p>
              </w:tc>
              <w:tc>
                <w:tcPr>
                  <w:tcW w:w="14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1"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项目执行标准：</w:t>
                  </w:r>
                  <w:r>
                    <w:rPr>
                      <w:rFonts w:hint="eastAsia" w:ascii="Times New Roman" w:hAnsi="Times New Roman" w:eastAsia="宋体" w:cs="Times New Roman"/>
                      <w:b w:val="0"/>
                      <w:bCs w:val="0"/>
                      <w:color w:val="auto"/>
                      <w:sz w:val="21"/>
                      <w:szCs w:val="21"/>
                    </w:rPr>
                    <w:t>执行《工业企业厂界环境噪声排放标准》（GB12348-2008）中</w:t>
                  </w:r>
                  <w:r>
                    <w:rPr>
                      <w:rFonts w:hint="eastAsia"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rPr>
                    <w:t>类标准</w:t>
                  </w:r>
                </w:p>
              </w:tc>
            </w:tr>
          </w:tbl>
          <w:p>
            <w:pPr>
              <w:jc w:val="center"/>
              <w:rPr>
                <w:rFonts w:hint="default"/>
                <w:color w:val="auto"/>
                <w:highlight w:val="green"/>
                <w:lang w:val="en-US" w:eastAsia="zh-CN"/>
              </w:rPr>
            </w:pPr>
          </w:p>
        </w:tc>
      </w:tr>
    </w:tbl>
    <w:p>
      <w:pPr>
        <w:pStyle w:val="4"/>
        <w:ind w:left="0" w:leftChars="0" w:firstLine="0" w:firstLineChars="0"/>
        <w:outlineLvl w:val="9"/>
        <w:rPr>
          <w:rFonts w:hint="eastAsia"/>
          <w:b/>
          <w:bCs/>
          <w:color w:val="auto"/>
          <w:highlight w:val="none"/>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4"/>
        <w:ind w:left="0" w:leftChars="0" w:firstLine="0" w:firstLineChars="0"/>
        <w:outlineLvl w:val="0"/>
        <w:rPr>
          <w:rFonts w:hint="default"/>
          <w:b/>
          <w:bCs/>
          <w:color w:val="auto"/>
          <w:highlight w:val="none"/>
          <w:lang w:val="en-US" w:eastAsia="zh-CN"/>
        </w:rPr>
      </w:pPr>
      <w:r>
        <w:rPr>
          <w:rFonts w:hint="eastAsia"/>
          <w:b/>
          <w:bCs/>
          <w:color w:val="auto"/>
          <w:highlight w:val="none"/>
          <w:lang w:val="en-US" w:eastAsia="zh-CN"/>
        </w:rPr>
        <w:t>表六 监测结果分析及评价</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0" w:hRule="atLeast"/>
          <w:jc w:val="center"/>
        </w:trPr>
        <w:tc>
          <w:tcPr>
            <w:tcW w:w="14457"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color w:val="auto"/>
              </w:rPr>
            </w:pPr>
            <w:r>
              <w:rPr>
                <w:rFonts w:hint="eastAsia"/>
                <w:b/>
                <w:bCs/>
                <w:color w:val="auto"/>
              </w:rPr>
              <w:t>验收监测期间生产工况记录：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color w:val="auto"/>
                <w:lang w:eastAsia="zh-CN"/>
              </w:rPr>
            </w:pPr>
            <w:r>
              <w:rPr>
                <w:rFonts w:hint="eastAsia"/>
                <w:color w:val="auto"/>
              </w:rPr>
              <w:t>项目在监测期间各环保设施运行正常</w:t>
            </w:r>
            <w:r>
              <w:rPr>
                <w:rFonts w:hint="eastAsia"/>
                <w:color w:val="auto"/>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验收监测结果：</w:t>
            </w:r>
          </w:p>
          <w:p>
            <w:pPr>
              <w:bidi w:val="0"/>
              <w:rPr>
                <w:rFonts w:hint="default"/>
                <w:b/>
                <w:bCs/>
                <w:color w:val="auto"/>
                <w:highlight w:val="none"/>
                <w:lang w:val="en-US" w:eastAsia="zh-CN"/>
              </w:rPr>
            </w:pPr>
            <w:r>
              <w:rPr>
                <w:rFonts w:hint="eastAsia"/>
                <w:b/>
                <w:bCs/>
                <w:color w:val="auto"/>
                <w:highlight w:val="none"/>
                <w:lang w:val="en-US" w:eastAsia="zh-CN"/>
              </w:rPr>
              <w:t>一、噪声监测结果及评价</w:t>
            </w:r>
          </w:p>
          <w:p>
            <w:pPr>
              <w:bidi w:val="0"/>
              <w:ind w:firstLine="480" w:firstLineChars="200"/>
              <w:rPr>
                <w:rFonts w:hint="eastAsia"/>
                <w:b w:val="0"/>
                <w:bCs w:val="0"/>
                <w:color w:val="auto"/>
                <w:highlight w:val="none"/>
                <w:lang w:val="en-US" w:eastAsia="zh-CN"/>
              </w:rPr>
            </w:pPr>
            <w:r>
              <w:rPr>
                <w:rFonts w:hint="eastAsia"/>
                <w:b w:val="0"/>
                <w:bCs w:val="0"/>
                <w:color w:val="auto"/>
                <w:highlight w:val="none"/>
                <w:lang w:val="en-US" w:eastAsia="zh-CN"/>
              </w:rPr>
              <w:t>噪声检测结果见表6-1。</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eastAsia"/>
                <w:b/>
                <w:bCs w:val="0"/>
                <w:color w:val="auto"/>
                <w:sz w:val="21"/>
                <w:szCs w:val="21"/>
                <w:highlight w:val="none"/>
              </w:rPr>
            </w:pPr>
            <w:r>
              <w:rPr>
                <w:rFonts w:hint="default" w:ascii="Times New Roman" w:hAnsi="Times New Roman" w:cs="Times New Roman"/>
                <w:b/>
                <w:bCs w:val="0"/>
                <w:color w:val="auto"/>
                <w:sz w:val="21"/>
                <w:szCs w:val="21"/>
                <w:highlight w:val="none"/>
              </w:rPr>
              <w:t>表</w:t>
            </w:r>
            <w:r>
              <w:rPr>
                <w:rFonts w:hint="default" w:ascii="Times New Roman" w:hAnsi="Times New Roman" w:cs="Times New Roman"/>
                <w:b/>
                <w:bCs w:val="0"/>
                <w:color w:val="auto"/>
                <w:sz w:val="21"/>
                <w:szCs w:val="21"/>
                <w:highlight w:val="none"/>
                <w:lang w:val="en-US" w:eastAsia="zh-CN"/>
              </w:rPr>
              <w:t>6-1</w:t>
            </w:r>
            <w:r>
              <w:rPr>
                <w:rFonts w:hint="default" w:ascii="Times New Roman" w:hAnsi="Times New Roman" w:cs="Times New Roman"/>
                <w:b/>
                <w:bCs w:val="0"/>
                <w:color w:val="auto"/>
                <w:sz w:val="21"/>
                <w:szCs w:val="21"/>
                <w:highlight w:val="none"/>
              </w:rPr>
              <w:t xml:space="preserve"> 噪</w:t>
            </w:r>
            <w:r>
              <w:rPr>
                <w:rFonts w:hint="eastAsia"/>
                <w:b/>
                <w:bCs w:val="0"/>
                <w:color w:val="auto"/>
                <w:sz w:val="21"/>
                <w:szCs w:val="21"/>
                <w:highlight w:val="none"/>
              </w:rPr>
              <w:t>声检测结果汇总表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200"/>
              <w:gridCol w:w="1104"/>
              <w:gridCol w:w="1077"/>
              <w:gridCol w:w="1337"/>
              <w:gridCol w:w="881"/>
              <w:gridCol w:w="1306"/>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vMerge w:val="restart"/>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检测点位</w:t>
                  </w:r>
                </w:p>
              </w:tc>
              <w:tc>
                <w:tcPr>
                  <w:tcW w:w="1200" w:type="dxa"/>
                  <w:vMerge w:val="restart"/>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检测日期</w:t>
                  </w:r>
                </w:p>
              </w:tc>
              <w:tc>
                <w:tcPr>
                  <w:tcW w:w="1104" w:type="dxa"/>
                  <w:vMerge w:val="restart"/>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检测项目</w:t>
                  </w:r>
                </w:p>
              </w:tc>
              <w:tc>
                <w:tcPr>
                  <w:tcW w:w="1077" w:type="dxa"/>
                  <w:vMerge w:val="restart"/>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主要声源</w:t>
                  </w:r>
                </w:p>
              </w:tc>
              <w:tc>
                <w:tcPr>
                  <w:tcW w:w="4274" w:type="dxa"/>
                  <w:gridSpan w:val="4"/>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检测值 （单位：dB(A)）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vMerge w:val="continue"/>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p>
              </w:tc>
              <w:tc>
                <w:tcPr>
                  <w:tcW w:w="1200" w:type="dxa"/>
                  <w:vMerge w:val="continue"/>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p>
              </w:tc>
              <w:tc>
                <w:tcPr>
                  <w:tcW w:w="1104" w:type="dxa"/>
                  <w:vMerge w:val="continue"/>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p>
              </w:tc>
              <w:tc>
                <w:tcPr>
                  <w:tcW w:w="1077" w:type="dxa"/>
                  <w:vMerge w:val="continue"/>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p>
              </w:tc>
              <w:tc>
                <w:tcPr>
                  <w:tcW w:w="1337"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检测时段</w:t>
                  </w:r>
                </w:p>
              </w:tc>
              <w:tc>
                <w:tcPr>
                  <w:tcW w:w="881"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Leq</w:t>
                  </w:r>
                </w:p>
              </w:tc>
              <w:tc>
                <w:tcPr>
                  <w:tcW w:w="1306"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检测时段</w:t>
                  </w:r>
                </w:p>
              </w:tc>
              <w:tc>
                <w:tcPr>
                  <w:tcW w:w="750" w:type="dxa"/>
                  <w:shd w:val="clear" w:color="auto" w:fill="92D050"/>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bCs/>
                      <w:i w:val="0"/>
                      <w:color w:val="auto"/>
                      <w:kern w:val="0"/>
                      <w:sz w:val="21"/>
                      <w:szCs w:val="21"/>
                      <w:highlight w:val="none"/>
                      <w:u w:val="none"/>
                      <w:lang w:val="en-US" w:eastAsia="zh-CN" w:bidi="ar"/>
                    </w:rPr>
                  </w:pPr>
                  <w:r>
                    <w:rPr>
                      <w:rFonts w:hint="eastAsia" w:ascii="Times New Roman" w:hAnsi="Times New Roman" w:eastAsia="宋体" w:cs="Times New Roman"/>
                      <w:b/>
                      <w:bCs/>
                      <w:i w:val="0"/>
                      <w:color w:val="auto"/>
                      <w:kern w:val="0"/>
                      <w:sz w:val="21"/>
                      <w:szCs w:val="21"/>
                      <w:highlight w:val="none"/>
                      <w:u w:val="none"/>
                      <w:lang w:val="en-US" w:eastAsia="zh-CN" w:bidi="ar"/>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N1：4#楼1层靠近道路一侧窗外1m</w:t>
                  </w:r>
                </w:p>
              </w:tc>
              <w:tc>
                <w:tcPr>
                  <w:tcW w:w="120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2024.03.06</w:t>
                  </w:r>
                </w:p>
              </w:tc>
              <w:tc>
                <w:tcPr>
                  <w:tcW w:w="110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环境噪声</w:t>
                  </w:r>
                </w:p>
              </w:tc>
              <w:tc>
                <w:tcPr>
                  <w:tcW w:w="107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交通噪声</w:t>
                  </w: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15:13~15:33</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49.7</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22:00~22:20</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N2：4#楼3层靠近道路一侧窗外1m</w:t>
                  </w:r>
                </w:p>
              </w:tc>
              <w:tc>
                <w:tcPr>
                  <w:tcW w:w="120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cs="Times New Roman"/>
                      <w:i w:val="0"/>
                      <w:color w:val="auto"/>
                      <w:kern w:val="0"/>
                      <w:sz w:val="21"/>
                      <w:szCs w:val="21"/>
                      <w:highlight w:val="none"/>
                      <w:u w:val="none"/>
                      <w:lang w:val="en-US" w:eastAsia="zh-CN" w:bidi="ar"/>
                    </w:rPr>
                  </w:pPr>
                </w:p>
              </w:tc>
              <w:tc>
                <w:tcPr>
                  <w:tcW w:w="11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07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15:35~15:55</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55.3</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22:21~22:41</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N3：4#楼6层靠近道路一侧窗外1m</w:t>
                  </w:r>
                </w:p>
              </w:tc>
              <w:tc>
                <w:tcPr>
                  <w:tcW w:w="120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cs="Times New Roman"/>
                      <w:i w:val="0"/>
                      <w:color w:val="auto"/>
                      <w:kern w:val="0"/>
                      <w:sz w:val="21"/>
                      <w:szCs w:val="21"/>
                      <w:highlight w:val="none"/>
                      <w:u w:val="none"/>
                      <w:lang w:val="en-US" w:eastAsia="zh-CN" w:bidi="ar"/>
                    </w:rPr>
                  </w:pPr>
                </w:p>
              </w:tc>
              <w:tc>
                <w:tcPr>
                  <w:tcW w:w="11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07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15:58~16:18</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55.5</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22:43~23:03</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N1：4#楼1层靠近道路一侧窗外1m</w:t>
                  </w:r>
                </w:p>
              </w:tc>
              <w:tc>
                <w:tcPr>
                  <w:tcW w:w="120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2024.03.07</w:t>
                  </w:r>
                </w:p>
              </w:tc>
              <w:tc>
                <w:tcPr>
                  <w:tcW w:w="11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07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12:30~12:50</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49.8</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22:04~22:24</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N2：4#楼3层靠近道路一侧窗外1m</w:t>
                  </w:r>
                </w:p>
              </w:tc>
              <w:tc>
                <w:tcPr>
                  <w:tcW w:w="120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cs="Times New Roman"/>
                      <w:i w:val="0"/>
                      <w:color w:val="auto"/>
                      <w:kern w:val="0"/>
                      <w:sz w:val="21"/>
                      <w:szCs w:val="21"/>
                      <w:highlight w:val="none"/>
                      <w:u w:val="none"/>
                      <w:lang w:val="en-US" w:eastAsia="zh-CN" w:bidi="ar"/>
                    </w:rPr>
                  </w:pPr>
                </w:p>
              </w:tc>
              <w:tc>
                <w:tcPr>
                  <w:tcW w:w="11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07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12:52~13:12</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50.1</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22:25~22:45</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N3：4#楼6层靠近道路一侧窗外1m</w:t>
                  </w:r>
                </w:p>
              </w:tc>
              <w:tc>
                <w:tcPr>
                  <w:tcW w:w="120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cs="Times New Roman"/>
                      <w:i w:val="0"/>
                      <w:color w:val="auto"/>
                      <w:kern w:val="0"/>
                      <w:sz w:val="21"/>
                      <w:szCs w:val="21"/>
                      <w:highlight w:val="none"/>
                      <w:u w:val="none"/>
                      <w:lang w:val="en-US" w:eastAsia="zh-CN" w:bidi="ar"/>
                    </w:rPr>
                  </w:pPr>
                </w:p>
              </w:tc>
              <w:tc>
                <w:tcPr>
                  <w:tcW w:w="11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07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i w:val="0"/>
                      <w:color w:val="auto"/>
                      <w:kern w:val="0"/>
                      <w:sz w:val="21"/>
                      <w:szCs w:val="21"/>
                      <w:highlight w:val="none"/>
                      <w:u w:val="none"/>
                      <w:lang w:val="en-US" w:eastAsia="zh-CN" w:bidi="ar"/>
                    </w:rPr>
                  </w:pPr>
                </w:p>
              </w:tc>
              <w:tc>
                <w:tcPr>
                  <w:tcW w:w="13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13:14~13:34</w:t>
                  </w:r>
                </w:p>
              </w:tc>
              <w:tc>
                <w:tcPr>
                  <w:tcW w:w="8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53.3</w:t>
                  </w:r>
                </w:p>
              </w:tc>
              <w:tc>
                <w:tcPr>
                  <w:tcW w:w="130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22:47~23:07</w:t>
                  </w:r>
                </w:p>
              </w:tc>
              <w:tc>
                <w:tcPr>
                  <w:tcW w:w="7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47.2</w:t>
                  </w:r>
                </w:p>
              </w:tc>
            </w:tr>
          </w:tbl>
          <w:p>
            <w:pPr>
              <w:bidi w:val="0"/>
              <w:ind w:firstLine="480" w:firstLineChars="200"/>
              <w:rPr>
                <w:rFonts w:hint="default"/>
                <w:color w:val="auto"/>
                <w:highlight w:val="none"/>
                <w:lang w:val="en-US" w:eastAsia="zh-CN"/>
              </w:rPr>
            </w:pPr>
            <w:r>
              <w:rPr>
                <w:rFonts w:hint="eastAsia"/>
                <w:color w:val="auto"/>
              </w:rPr>
              <w:t>噪声监测结果分析评价：由监测结果可知，在竣工验收监测期间，</w:t>
            </w:r>
            <w:r>
              <w:rPr>
                <w:rFonts w:hint="eastAsia"/>
                <w:color w:val="auto"/>
                <w:lang w:eastAsia="zh-CN"/>
              </w:rPr>
              <w:t>项目</w:t>
            </w:r>
            <w:r>
              <w:rPr>
                <w:rFonts w:hint="eastAsia"/>
                <w:color w:val="auto"/>
                <w:lang w:val="en-US" w:eastAsia="zh-CN"/>
              </w:rPr>
              <w:t>环境噪声</w:t>
            </w:r>
            <w:r>
              <w:rPr>
                <w:rFonts w:hint="eastAsia"/>
                <w:color w:val="auto"/>
              </w:rPr>
              <w:t>监测结果均小于标准限值，</w:t>
            </w:r>
            <w:r>
              <w:rPr>
                <w:rFonts w:hint="eastAsia"/>
                <w:color w:val="auto"/>
                <w:lang w:val="en-US" w:eastAsia="zh-CN"/>
              </w:rPr>
              <w:t>满足</w:t>
            </w:r>
            <w:r>
              <w:rPr>
                <w:rFonts w:hint="eastAsia"/>
                <w:color w:val="auto"/>
              </w:rPr>
              <w:t>《工业企业厂界环境噪声排放标准》（GB12348-2008）中</w:t>
            </w:r>
            <w:r>
              <w:rPr>
                <w:rFonts w:hint="eastAsia"/>
                <w:color w:val="auto"/>
                <w:lang w:val="en-US" w:eastAsia="zh-CN"/>
              </w:rPr>
              <w:t>2</w:t>
            </w:r>
            <w:r>
              <w:rPr>
                <w:rFonts w:hint="eastAsia"/>
                <w:color w:val="auto"/>
              </w:rPr>
              <w:t>类标准</w:t>
            </w:r>
            <w:r>
              <w:rPr>
                <w:rFonts w:hint="eastAsia"/>
                <w:color w:val="auto"/>
                <w:lang w:val="en-US" w:eastAsia="zh-CN"/>
              </w:rPr>
              <w:t>。</w:t>
            </w:r>
          </w:p>
          <w:p>
            <w:pPr>
              <w:keepNext w:val="0"/>
              <w:keepLines w:val="0"/>
              <w:suppressLineNumbers w:val="0"/>
              <w:spacing w:before="0" w:beforeAutospacing="0" w:after="0" w:afterAutospacing="0"/>
              <w:ind w:left="0" w:right="0"/>
              <w:rPr>
                <w:rFonts w:hint="eastAsia"/>
                <w:b/>
                <w:bCs/>
                <w:color w:val="auto"/>
                <w:lang w:eastAsia="zh-CN"/>
              </w:rPr>
            </w:pPr>
          </w:p>
          <w:p>
            <w:pPr>
              <w:keepNext w:val="0"/>
              <w:keepLines w:val="0"/>
              <w:suppressLineNumbers w:val="0"/>
              <w:spacing w:before="0" w:beforeAutospacing="0" w:after="0" w:afterAutospacing="0"/>
              <w:ind w:left="0" w:right="0"/>
              <w:rPr>
                <w:rFonts w:hint="eastAsia"/>
                <w:b/>
                <w:bCs/>
                <w:color w:val="auto"/>
                <w:lang w:eastAsia="zh-CN"/>
              </w:rPr>
            </w:pPr>
          </w:p>
          <w:p>
            <w:pPr>
              <w:bidi w:val="0"/>
              <w:jc w:val="left"/>
              <w:rPr>
                <w:rFonts w:hint="default"/>
                <w:color w:val="auto"/>
                <w:highlight w:val="green"/>
                <w:vertAlign w:val="baseline"/>
                <w:lang w:val="en-US" w:eastAsia="zh-CN"/>
              </w:rPr>
            </w:pPr>
          </w:p>
        </w:tc>
      </w:tr>
    </w:tbl>
    <w:p>
      <w:pPr>
        <w:rPr>
          <w:rFonts w:hint="default"/>
          <w:color w:val="auto"/>
          <w:highlight w:val="green"/>
          <w:lang w:val="en-US" w:eastAsia="zh-CN"/>
        </w:rPr>
      </w:pPr>
    </w:p>
    <w:p>
      <w:pPr>
        <w:pStyle w:val="4"/>
        <w:rPr>
          <w:rFonts w:hint="eastAsia"/>
          <w:b/>
          <w:bCs/>
          <w:color w:val="auto"/>
          <w:highlight w:val="green"/>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4"/>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lang w:val="en-US" w:eastAsia="zh-CN"/>
        </w:rPr>
        <w:t>表七 验收结论及建议</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2" w:hRule="atLeast"/>
          <w:jc w:val="center"/>
        </w:trPr>
        <w:tc>
          <w:tcPr>
            <w:tcW w:w="9354" w:type="dxa"/>
            <w:vAlign w:val="top"/>
          </w:tcPr>
          <w:p>
            <w:pPr>
              <w:bidi w:val="0"/>
              <w:rPr>
                <w:rFonts w:hint="default"/>
                <w:lang w:val="en-US" w:eastAsia="zh-CN"/>
              </w:rPr>
            </w:pPr>
            <w:r>
              <w:rPr>
                <w:rFonts w:hint="eastAsia"/>
                <w:lang w:val="en-US" w:eastAsia="zh-CN"/>
              </w:rPr>
              <w:t>验收监测结论及建议：</w:t>
            </w:r>
          </w:p>
          <w:p>
            <w:pPr>
              <w:pStyle w:val="4"/>
              <w:rPr>
                <w:rFonts w:hint="eastAsia"/>
                <w:lang w:val="en-US" w:eastAsia="zh-CN"/>
              </w:rPr>
            </w:pPr>
            <w:r>
              <w:rPr>
                <w:rFonts w:hint="eastAsia"/>
                <w:lang w:val="en-US" w:eastAsia="zh-CN"/>
              </w:rPr>
              <w:t>1、污染物排放监测结果</w:t>
            </w:r>
          </w:p>
          <w:p>
            <w:pPr>
              <w:bidi w:val="0"/>
              <w:ind w:firstLine="480" w:firstLineChars="200"/>
              <w:rPr>
                <w:rFonts w:hint="default"/>
                <w:lang w:val="en-US" w:eastAsia="zh-CN"/>
              </w:rPr>
            </w:pPr>
            <w:r>
              <w:rPr>
                <w:rFonts w:hint="eastAsia"/>
                <w:lang w:val="en-US" w:eastAsia="zh-CN"/>
              </w:rPr>
              <w:t>（1）废水现场勘查结果：本项目为学校学生宿舍楼，营运期废水主要来自学生与和教职工产生的生活污水，排水系统实行雨、污分流。生活污水经化粪池预处理后，纳入周边市政污水管网，送至污水处理厂处理。</w:t>
            </w:r>
          </w:p>
          <w:p>
            <w:pPr>
              <w:spacing w:line="360" w:lineRule="auto"/>
              <w:ind w:firstLine="480" w:firstLineChars="200"/>
              <w:outlineLvl w:val="2"/>
              <w:rPr>
                <w:rFonts w:hint="eastAsia"/>
                <w:highlight w:val="red"/>
                <w:lang w:val="en-US" w:eastAsia="zh-CN"/>
              </w:rPr>
            </w:pPr>
            <w:r>
              <w:rPr>
                <w:rFonts w:hint="eastAsia"/>
                <w:lang w:val="en-US" w:eastAsia="zh-CN"/>
              </w:rPr>
              <w:t>（2）</w:t>
            </w:r>
            <w:r>
              <w:rPr>
                <w:rFonts w:hint="default"/>
              </w:rPr>
              <w:t>废气现场勘查结果：本项目废气主要为</w:t>
            </w:r>
            <w:r>
              <w:rPr>
                <w:rFonts w:hint="eastAsia"/>
                <w:lang w:val="en-US" w:eastAsia="zh-CN"/>
              </w:rPr>
              <w:t>地下停车场的</w:t>
            </w:r>
            <w:r>
              <w:rPr>
                <w:rFonts w:hint="default"/>
              </w:rPr>
              <w:t>汽车尾气。地</w:t>
            </w:r>
            <w:r>
              <w:rPr>
                <w:rFonts w:hint="eastAsia"/>
                <w:lang w:val="en-US" w:eastAsia="zh-CN"/>
              </w:rPr>
              <w:t>下</w:t>
            </w:r>
            <w:r>
              <w:rPr>
                <w:rFonts w:hint="default"/>
              </w:rPr>
              <w:t>停车场</w:t>
            </w:r>
            <w:r>
              <w:rPr>
                <w:rFonts w:hint="eastAsia"/>
                <w:lang w:val="en-US" w:eastAsia="zh-CN"/>
              </w:rPr>
              <w:t>设置排气</w:t>
            </w:r>
            <w:r>
              <w:rPr>
                <w:rFonts w:hint="eastAsia"/>
                <w:highlight w:val="none"/>
                <w:lang w:val="en-US" w:eastAsia="zh-CN"/>
              </w:rPr>
              <w:t>管道</w:t>
            </w:r>
            <w:r>
              <w:rPr>
                <w:rFonts w:hint="default"/>
                <w:highlight w:val="none"/>
              </w:rPr>
              <w:t>，产生的废气经专用</w:t>
            </w:r>
            <w:r>
              <w:rPr>
                <w:rFonts w:hint="eastAsia"/>
                <w:highlight w:val="none"/>
                <w:lang w:val="en-US" w:eastAsia="zh-CN"/>
              </w:rPr>
              <w:t>管道</w:t>
            </w:r>
            <w:r>
              <w:rPr>
                <w:rFonts w:hint="default"/>
                <w:highlight w:val="none"/>
              </w:rPr>
              <w:t>引至</w:t>
            </w:r>
            <w:r>
              <w:rPr>
                <w:rFonts w:hint="eastAsia"/>
                <w:highlight w:val="none"/>
                <w:lang w:val="en-US" w:eastAsia="zh-CN"/>
              </w:rPr>
              <w:t>地面电动车停车场。</w:t>
            </w:r>
          </w:p>
          <w:p>
            <w:pPr>
              <w:pStyle w:val="11"/>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eastAsia"/>
                <w:lang w:val="en-US" w:eastAsia="zh-CN"/>
              </w:rPr>
            </w:pPr>
            <w:r>
              <w:rPr>
                <w:rFonts w:hint="eastAsia"/>
                <w:highlight w:val="none"/>
                <w:lang w:val="en-US" w:eastAsia="zh-CN"/>
              </w:rPr>
              <w:t>（3）噪声检测结果分析：由</w:t>
            </w:r>
            <w:r>
              <w:rPr>
                <w:rFonts w:hint="eastAsia"/>
                <w:lang w:val="en-US" w:eastAsia="zh-CN"/>
              </w:rPr>
              <w:t>监测结果可知，在竣工验收监测期间，项目厂界噪声监测结果均小于标准限值，满足《工业企业厂界环境噪声排放标准》（GB12348-2008）中2类标准。</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4）固废现场勘查结果：本项目固废主要为学生与教职工日常生活产生的生活垃圾，采用密闭垃圾桶对生活垃圾进行袋装分类收集，对有利用价值的回收后综合利用，其它无利用价值的普通垃圾及时收集后由环卫部门统一及时清运处理，垃圾每天早、晚各收集一次，确保生活垃圾收集率达到100%。对本项目垃圾收集桶加强管理，保持其清洁卫生。</w:t>
            </w:r>
          </w:p>
          <w:p>
            <w:pPr>
              <w:pStyle w:val="11"/>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color w:val="auto"/>
              </w:rPr>
              <w:t>综上所述，本次验收项目执行了环境影响评价和“三同时制度”，环境保护手续齐全，在实施过程中按照要求配套建设了相应的环境保护设施，落实了相应的环境保护措施，噪声污染物达标排放，基本符合环境保护验收条件，同意该项目通过竣工环境保护验收。</w:t>
            </w:r>
          </w:p>
          <w:p>
            <w:pPr>
              <w:pStyle w:val="11"/>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eastAsia"/>
                <w:lang w:val="en-US" w:eastAsia="zh-CN"/>
              </w:rPr>
            </w:pPr>
            <w:r>
              <w:rPr>
                <w:rFonts w:hint="eastAsia"/>
                <w:lang w:val="en-US" w:eastAsia="zh-CN"/>
              </w:rPr>
              <w:t>2、建议</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eastAsia="zh-CN"/>
              </w:rPr>
            </w:pPr>
            <w:r>
              <w:rPr>
                <w:rFonts w:hint="default"/>
                <w:color w:val="auto"/>
              </w:rPr>
              <w:t>（</w:t>
            </w:r>
            <w:r>
              <w:rPr>
                <w:rFonts w:hint="eastAsia"/>
                <w:color w:val="auto"/>
                <w:lang w:val="en-US" w:eastAsia="zh-CN"/>
              </w:rPr>
              <w:t>1</w:t>
            </w:r>
            <w:r>
              <w:rPr>
                <w:rFonts w:hint="default"/>
                <w:color w:val="auto"/>
              </w:rPr>
              <w:t>）</w:t>
            </w:r>
            <w:r>
              <w:rPr>
                <w:rFonts w:hint="eastAsia"/>
                <w:color w:val="auto"/>
              </w:rPr>
              <w:t>在后期</w:t>
            </w:r>
            <w:r>
              <w:rPr>
                <w:rFonts w:hint="eastAsia"/>
                <w:color w:val="auto"/>
                <w:lang w:val="en-US" w:eastAsia="zh-CN"/>
              </w:rPr>
              <w:t>运营</w:t>
            </w:r>
            <w:r>
              <w:rPr>
                <w:rFonts w:hint="eastAsia"/>
                <w:color w:val="auto"/>
              </w:rPr>
              <w:t>过程中，加强设施的环境管理</w:t>
            </w:r>
            <w:r>
              <w:rPr>
                <w:rFonts w:hint="eastAsia"/>
                <w:color w:val="auto"/>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）加强配电房、</w:t>
            </w:r>
            <w:r>
              <w:rPr>
                <w:rFonts w:hint="eastAsia"/>
                <w:color w:val="auto"/>
                <w:lang w:val="en-US" w:eastAsia="zh-CN"/>
              </w:rPr>
              <w:t>水泵房</w:t>
            </w:r>
            <w:r>
              <w:rPr>
                <w:rFonts w:hint="eastAsia"/>
                <w:color w:val="auto"/>
                <w:lang w:eastAsia="zh-CN"/>
              </w:rPr>
              <w:t>等噪声源的噪声污染管理，确保环境噪声达标。</w:t>
            </w:r>
          </w:p>
          <w:p>
            <w:pPr>
              <w:pStyle w:val="4"/>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color w:val="auto"/>
              </w:rPr>
              <w:t>建议建设和运营单位做好环保设施的日常运营管理、维护、保养等工作，确保污染物长期稳定达标排放。</w:t>
            </w:r>
          </w:p>
        </w:tc>
      </w:tr>
    </w:tbl>
    <w:p>
      <w:pPr>
        <w:bidi w:val="0"/>
        <w:rPr>
          <w:rFonts w:hint="default"/>
          <w:color w:val="auto"/>
          <w:highlight w:val="green"/>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rFonts w:hint="eastAsia" w:ascii="仿宋" w:hAnsi="仿宋" w:eastAsia="仿宋" w:cs="仿宋"/>
          <w:b/>
          <w:bCs/>
          <w:color w:val="auto"/>
          <w:highlight w:val="none"/>
          <w:lang w:val="en-US" w:eastAsia="zh-CN"/>
        </w:rPr>
      </w:pPr>
      <w:r>
        <w:rPr>
          <w:rFonts w:hint="eastAsia" w:ascii="仿宋" w:hAnsi="仿宋" w:eastAsia="仿宋" w:cs="仿宋"/>
          <w:b/>
          <w:bCs/>
          <w:color w:val="auto"/>
          <w:highlight w:val="none"/>
          <w:lang w:val="en-US" w:eastAsia="zh-CN"/>
        </w:rPr>
        <w:t>表八 附图、附件</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0" w:hRule="atLeast"/>
          <w:jc w:val="center"/>
        </w:trPr>
        <w:tc>
          <w:tcPr>
            <w:tcW w:w="9354" w:type="dxa"/>
            <w:vAlign w:val="top"/>
          </w:tcPr>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附图1 项目地理位置图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 xml:space="preserve">附图2 </w:t>
            </w:r>
            <w:r>
              <w:rPr>
                <w:rFonts w:hint="eastAsia"/>
                <w:color w:val="auto"/>
                <w:lang w:val="en-US" w:eastAsia="zh-CN"/>
              </w:rPr>
              <w:t>项目平面布置图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附图3 雨污水管网图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highlight w:val="none"/>
                <w:lang w:val="en-US" w:eastAsia="zh-CN"/>
              </w:rPr>
            </w:pPr>
            <w:r>
              <w:rPr>
                <w:rFonts w:hint="eastAsia"/>
                <w:color w:val="auto"/>
                <w:highlight w:val="none"/>
                <w:lang w:val="en-US" w:eastAsia="zh-CN"/>
              </w:rPr>
              <w:t>附图4 现场监测图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附件1 委托书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附件2 承诺函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附件3 立项批复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附件4 初步设计的批复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附件5 建设组成一览表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附件6 主要经济技术指标一览表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eastAsia"/>
                <w:color w:val="auto"/>
                <w:highlight w:val="none"/>
                <w:lang w:val="en-US" w:eastAsia="zh-CN"/>
              </w:rPr>
              <w:t>附件7 环保投资一览表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highlight w:val="none"/>
                <w:lang w:val="en-US" w:eastAsia="zh-CN"/>
              </w:rPr>
            </w:pPr>
            <w:r>
              <w:rPr>
                <w:rFonts w:hint="eastAsia"/>
                <w:color w:val="auto"/>
                <w:highlight w:val="none"/>
                <w:lang w:val="en-US" w:eastAsia="zh-CN"/>
              </w:rPr>
              <w:t>附件8 验收检测报告</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highlight w:val="none"/>
                <w:lang w:val="en-US" w:eastAsia="zh-CN"/>
              </w:rPr>
            </w:pPr>
            <w:r>
              <w:rPr>
                <w:rFonts w:hint="eastAsia"/>
                <w:color w:val="auto"/>
                <w:highlight w:val="none"/>
                <w:lang w:val="en-US" w:eastAsia="zh-CN"/>
              </w:rPr>
              <w:t>附件9 会议签到表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default"/>
                <w:color w:val="auto"/>
                <w:highlight w:val="none"/>
                <w:lang w:val="en-US" w:eastAsia="zh-CN"/>
              </w:rPr>
              <w:t>附件10 验收意见</w:t>
            </w:r>
          </w:p>
          <w:p>
            <w:pPr>
              <w:keepNext w:val="0"/>
              <w:keepLines w:val="0"/>
              <w:pageBreakBefore w:val="0"/>
              <w:widowControl w:val="0"/>
              <w:kinsoku/>
              <w:wordWrap/>
              <w:overflowPunct/>
              <w:topLinePunct w:val="0"/>
              <w:autoSpaceDE/>
              <w:autoSpaceDN/>
              <w:bidi w:val="0"/>
              <w:adjustRightInd/>
              <w:snapToGrid/>
              <w:spacing w:beforeAutospacing="0" w:afterAutospacing="0"/>
              <w:ind w:firstLine="480" w:firstLineChars="200"/>
              <w:jc w:val="left"/>
              <w:textAlignment w:val="auto"/>
              <w:rPr>
                <w:rFonts w:hint="default"/>
                <w:color w:val="auto"/>
                <w:highlight w:val="none"/>
                <w:lang w:val="en-US" w:eastAsia="zh-CN"/>
              </w:rPr>
            </w:pPr>
            <w:r>
              <w:rPr>
                <w:rFonts w:hint="default" w:ascii="Times New Roman" w:hAnsi="Times New Roman" w:eastAsia="宋体" w:cs="Times New Roman"/>
                <w:color w:val="auto"/>
                <w:highlight w:val="none"/>
              </w:rPr>
              <w:t>建设项目竣工环境保护“三同时”验收登记表。</w:t>
            </w:r>
          </w:p>
        </w:tc>
      </w:tr>
    </w:tbl>
    <w:p>
      <w:pPr>
        <w:rPr>
          <w:rFonts w:hint="eastAsia"/>
          <w:color w:val="auto"/>
          <w:highlight w:val="green"/>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eastAsia="黑体"/>
          <w:b/>
          <w:color w:val="auto"/>
          <w:sz w:val="21"/>
          <w:szCs w:val="21"/>
          <w:highlight w:val="none"/>
        </w:rPr>
        <w:sectPr>
          <w:headerReference r:id="rId11" w:type="default"/>
          <w:footerReference r:id="rId12" w:type="default"/>
          <w:pgSz w:w="16838" w:h="11906" w:orient="landscape"/>
          <w:pgMar w:top="1701"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rPr>
          <w:rFonts w:hint="eastAsia" w:ascii="仿宋" w:hAnsi="仿宋" w:eastAsia="仿宋" w:cs="仿宋"/>
          <w:b/>
          <w:bCs/>
          <w:color w:val="auto"/>
          <w:highlight w:val="none"/>
          <w:lang w:val="en-US" w:eastAsia="zh-CN"/>
        </w:rPr>
        <w:drawing>
          <wp:anchor distT="0" distB="0" distL="114300" distR="114300" simplePos="0" relativeHeight="251662336" behindDoc="0" locked="0" layoutInCell="1" allowOverlap="1">
            <wp:simplePos x="0" y="0"/>
            <wp:positionH relativeFrom="column">
              <wp:posOffset>8175625</wp:posOffset>
            </wp:positionH>
            <wp:positionV relativeFrom="paragraph">
              <wp:posOffset>213995</wp:posOffset>
            </wp:positionV>
            <wp:extent cx="495935" cy="645160"/>
            <wp:effectExtent l="0" t="0" r="18415" b="2540"/>
            <wp:wrapNone/>
            <wp:docPr id="6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9"/>
                    <pic:cNvPicPr>
                      <a:picLocks noChangeAspect="1"/>
                    </pic:cNvPicPr>
                  </pic:nvPicPr>
                  <pic:blipFill>
                    <a:blip r:embed="rId26"/>
                    <a:stretch>
                      <a:fillRect/>
                    </a:stretch>
                  </pic:blipFill>
                  <pic:spPr>
                    <a:xfrm>
                      <a:off x="0" y="0"/>
                      <a:ext cx="495935" cy="645160"/>
                    </a:xfrm>
                    <a:prstGeom prst="rect">
                      <a:avLst/>
                    </a:prstGeom>
                    <a:noFill/>
                    <a:ln>
                      <a:noFill/>
                    </a:ln>
                  </pic:spPr>
                </pic:pic>
              </a:graphicData>
            </a:graphic>
          </wp:anchor>
        </w:drawing>
      </w:r>
      <w:r>
        <w:rPr>
          <w:rFonts w:hint="eastAsia" w:ascii="仿宋" w:hAnsi="仿宋" w:eastAsia="仿宋" w:cs="仿宋"/>
          <w:b/>
          <w:bCs/>
          <w:color w:val="auto"/>
          <w:highlight w:val="none"/>
          <w:lang w:val="en-US" w:eastAsia="zh-CN"/>
        </w:rPr>
        <mc:AlternateContent>
          <mc:Choice Requires="wps">
            <w:drawing>
              <wp:anchor distT="0" distB="0" distL="114300" distR="114300" simplePos="0" relativeHeight="251661312" behindDoc="0" locked="0" layoutInCell="1" allowOverlap="1">
                <wp:simplePos x="0" y="0"/>
                <wp:positionH relativeFrom="column">
                  <wp:posOffset>4939030</wp:posOffset>
                </wp:positionH>
                <wp:positionV relativeFrom="paragraph">
                  <wp:posOffset>962025</wp:posOffset>
                </wp:positionV>
                <wp:extent cx="1228725" cy="678180"/>
                <wp:effectExtent l="6350" t="6350" r="22225" b="96520"/>
                <wp:wrapNone/>
                <wp:docPr id="40" name="矩形标注 40"/>
                <wp:cNvGraphicFramePr/>
                <a:graphic xmlns:a="http://schemas.openxmlformats.org/drawingml/2006/main">
                  <a:graphicData uri="http://schemas.microsoft.com/office/word/2010/wordprocessingShape">
                    <wps:wsp>
                      <wps:cNvSpPr/>
                      <wps:spPr>
                        <a:xfrm>
                          <a:off x="0" y="0"/>
                          <a:ext cx="1228725" cy="678180"/>
                        </a:xfrm>
                        <a:prstGeom prst="wedgeRectCallo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FF0000"/>
                                <w:sz w:val="24"/>
                                <w:szCs w:val="24"/>
                                <w:lang w:val="en-US" w:eastAsia="zh-CN"/>
                              </w:rPr>
                            </w:pPr>
                            <w:r>
                              <w:rPr>
                                <w:rFonts w:hint="eastAsia"/>
                                <w:b/>
                                <w:bCs/>
                                <w:color w:val="FF0000"/>
                                <w:sz w:val="24"/>
                                <w:szCs w:val="24"/>
                                <w:lang w:val="en-US" w:eastAsia="zh-CN"/>
                              </w:rPr>
                              <w:t>项目所在位置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88.9pt;margin-top:75.75pt;height:53.4pt;width:96.75pt;z-index:251661312;v-text-anchor:middle;mso-width-relative:page;mso-height-relative:page;" filled="f" stroked="t" coordsize="21600,21600" o:gfxdata="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rt7jy2gAAAAsBAAAPAAAA&#10;AAAAAAEAIAAAACIAAABkcnMvZG93bnJldi54bWxQSwECFAAUAAAACACHTuJABzYU8YUCAADqBAAA&#10;DgAAAAAAAAABACAAAAApAQAAZHJzL2Uyb0RvYy54bWxQSwUGAAAAAAYABgBZAQAAIAYAAAAA&#10;" adj="6300,24300">
                <v:fill on="f" focussize="0,0"/>
                <v:stroke weight="1pt" color="#FF0000 [3204]"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FF0000"/>
                          <w:sz w:val="24"/>
                          <w:szCs w:val="24"/>
                          <w:lang w:val="en-US" w:eastAsia="zh-CN"/>
                        </w:rPr>
                      </w:pPr>
                      <w:r>
                        <w:rPr>
                          <w:rFonts w:hint="eastAsia"/>
                          <w:b/>
                          <w:bCs/>
                          <w:color w:val="FF0000"/>
                          <w:sz w:val="24"/>
                          <w:szCs w:val="24"/>
                          <w:lang w:val="en-US" w:eastAsia="zh-CN"/>
                        </w:rPr>
                        <w:t>项目所在位置</w:t>
                      </w:r>
                    </w:p>
                  </w:txbxContent>
                </v:textbox>
              </v:shape>
            </w:pict>
          </mc:Fallback>
        </mc:AlternateContent>
      </w:r>
      <w:r>
        <w:rPr>
          <w:rFonts w:hint="eastAsia" w:ascii="仿宋" w:hAnsi="仿宋" w:eastAsia="仿宋" w:cs="仿宋"/>
          <w:b/>
          <w:bCs/>
          <w:color w:val="auto"/>
          <w:highlight w:val="none"/>
          <w:lang w:val="en-US" w:eastAsia="zh-CN"/>
        </w:rPr>
        <mc:AlternateContent>
          <mc:Choice Requires="wps">
            <w:drawing>
              <wp:anchor distT="0" distB="0" distL="114300" distR="114300" simplePos="0" relativeHeight="251660288" behindDoc="0" locked="0" layoutInCell="1" allowOverlap="1">
                <wp:simplePos x="0" y="0"/>
                <wp:positionH relativeFrom="column">
                  <wp:posOffset>5210810</wp:posOffset>
                </wp:positionH>
                <wp:positionV relativeFrom="paragraph">
                  <wp:posOffset>1839595</wp:posOffset>
                </wp:positionV>
                <wp:extent cx="219710" cy="314960"/>
                <wp:effectExtent l="21590" t="43180" r="25400" b="60960"/>
                <wp:wrapNone/>
                <wp:docPr id="37" name="十字星 37"/>
                <wp:cNvGraphicFramePr/>
                <a:graphic xmlns:a="http://schemas.openxmlformats.org/drawingml/2006/main">
                  <a:graphicData uri="http://schemas.microsoft.com/office/word/2010/wordprocessingShape">
                    <wps:wsp>
                      <wps:cNvSpPr/>
                      <wps:spPr>
                        <a:xfrm>
                          <a:off x="0" y="0"/>
                          <a:ext cx="219710" cy="314960"/>
                        </a:xfrm>
                        <a:prstGeom prst="star4">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87" type="#_x0000_t187" style="position:absolute;left:0pt;margin-left:410.3pt;margin-top:144.85pt;height:24.8pt;width:17.3pt;z-index:251660288;v-text-anchor:middle;mso-width-relative:page;mso-height-relative:page;" fillcolor="#FF0000" filled="t" stroked="t" coordsize="21600,21600" o:gfxdata="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NoSKATbAAAACwEAAA8AAAAAAAAAAQAgAAAAIgAAAGRy&#10;cy9kb3ducmV2LnhtbFBLAQIUABQAAAAIAIdO4kBZdpZDdAIAAPkEAAAOAAAAAAAAAAEAIAAAACoB&#10;AABkcnMvZTJvRG9jLnhtbFBLBQYAAAAABgAGAFkBAAAQBgAAAAA=&#10;" adj="8100">
                <v:fill on="t" focussize="0,0"/>
                <v:stroke weight="1pt" color="#FF0000 [3204]" miterlimit="8" joinstyle="miter"/>
                <v:imagedata o:title=""/>
                <o:lock v:ext="edit" aspectratio="f"/>
              </v:shape>
            </w:pict>
          </mc:Fallback>
        </mc:AlternateContent>
      </w:r>
      <w:r>
        <w:rPr>
          <w:rFonts w:hint="default" w:ascii="仿宋" w:hAnsi="仿宋" w:eastAsia="仿宋" w:cs="仿宋"/>
          <w:b/>
          <w:bCs/>
          <w:color w:val="auto"/>
          <w:highlight w:val="none"/>
          <w:lang w:val="en-US" w:eastAsia="zh-CN"/>
        </w:rPr>
        <w:t xml:space="preserve">附图1 </w:t>
      </w:r>
      <w:r>
        <w:rPr>
          <w:rFonts w:hint="eastAsia" w:ascii="仿宋" w:hAnsi="仿宋" w:eastAsia="仿宋" w:cs="仿宋"/>
          <w:b/>
          <w:bCs/>
          <w:color w:val="auto"/>
          <w:highlight w:val="none"/>
          <w:lang w:val="en-US" w:eastAsia="zh-CN"/>
        </w:rPr>
        <w:t>项目</w:t>
      </w:r>
      <w:r>
        <w:rPr>
          <w:rFonts w:hint="default" w:ascii="仿宋" w:hAnsi="仿宋" w:eastAsia="仿宋" w:cs="仿宋"/>
          <w:b/>
          <w:bCs/>
          <w:color w:val="auto"/>
          <w:highlight w:val="none"/>
          <w:lang w:val="en-US" w:eastAsia="zh-CN"/>
        </w:rPr>
        <w:t>地理位置图</w:t>
      </w:r>
      <w:r>
        <w:drawing>
          <wp:inline distT="0" distB="0" distL="114300" distR="114300">
            <wp:extent cx="8460105" cy="5276215"/>
            <wp:effectExtent l="0" t="0" r="17145" b="6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27"/>
                    <a:stretch>
                      <a:fillRect/>
                    </a:stretch>
                  </pic:blipFill>
                  <pic:spPr>
                    <a:xfrm>
                      <a:off x="0" y="0"/>
                      <a:ext cx="8460105" cy="52762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b/>
          <w:bCs/>
        </w:rPr>
      </w:pPr>
      <w:r>
        <w:rPr>
          <w:rFonts w:hint="eastAsia"/>
          <w:b/>
          <w:bCs/>
        </w:rPr>
        <w:t>附图</w:t>
      </w:r>
      <w:r>
        <w:rPr>
          <w:rFonts w:hint="eastAsia"/>
          <w:b/>
          <w:bCs/>
          <w:lang w:val="en-US" w:eastAsia="zh-CN"/>
        </w:rPr>
        <w:t>2</w:t>
      </w:r>
      <w:r>
        <w:rPr>
          <w:rFonts w:hint="eastAsia"/>
          <w:b/>
          <w:bCs/>
        </w:rPr>
        <w:t xml:space="preserve"> </w:t>
      </w:r>
      <w:r>
        <w:rPr>
          <w:rFonts w:hint="eastAsia"/>
          <w:b/>
          <w:bCs/>
          <w:lang w:val="en-US" w:eastAsia="zh-CN"/>
        </w:rPr>
        <w:t>项目平面布置</w:t>
      </w:r>
      <w:r>
        <w:rPr>
          <w:rFonts w:hint="eastAsia"/>
          <w:b/>
          <w:bCs/>
        </w:rPr>
        <w:t>图</w:t>
      </w:r>
    </w:p>
    <w:p>
      <w:pPr>
        <w:pStyle w:val="23"/>
        <w:ind w:left="0" w:leftChars="0" w:firstLine="0" w:firstLineChars="0"/>
        <w:jc w:val="cente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mc:AlternateContent>
          <mc:Choice Requires="wps">
            <w:drawing>
              <wp:anchor distT="0" distB="0" distL="114300" distR="114300" simplePos="0" relativeHeight="251675648" behindDoc="0" locked="0" layoutInCell="1" allowOverlap="1">
                <wp:simplePos x="0" y="0"/>
                <wp:positionH relativeFrom="column">
                  <wp:posOffset>3806825</wp:posOffset>
                </wp:positionH>
                <wp:positionV relativeFrom="paragraph">
                  <wp:posOffset>2071370</wp:posOffset>
                </wp:positionV>
                <wp:extent cx="748665" cy="342265"/>
                <wp:effectExtent l="4445" t="4445" r="8890" b="434340"/>
                <wp:wrapNone/>
                <wp:docPr id="36" name="圆角矩形标注 36"/>
                <wp:cNvGraphicFramePr/>
                <a:graphic xmlns:a="http://schemas.openxmlformats.org/drawingml/2006/main">
                  <a:graphicData uri="http://schemas.microsoft.com/office/word/2010/wordprocessingShape">
                    <wps:wsp>
                      <wps:cNvSpPr/>
                      <wps:spPr>
                        <a:xfrm>
                          <a:off x="0" y="0"/>
                          <a:ext cx="748665" cy="342265"/>
                        </a:xfrm>
                        <a:prstGeom prst="wedgeRoundRectCallout">
                          <a:avLst>
                            <a:gd name="adj1" fmla="val -33715"/>
                            <a:gd name="adj2" fmla="val 165584"/>
                            <a:gd name="adj3" fmla="val 16667"/>
                          </a:avLst>
                        </a:prstGeom>
                        <a:solidFill>
                          <a:srgbClr val="FFFFFF">
                            <a:alpha val="28998"/>
                          </a:srgbClr>
                        </a:solid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lang w:val="en-US" w:eastAsia="zh-CN"/>
                              </w:rPr>
                            </w:pPr>
                            <w:r>
                              <w:rPr>
                                <w:rFonts w:hint="eastAsia"/>
                                <w:b/>
                                <w:bCs/>
                                <w:color w:val="0000FF"/>
                                <w:lang w:val="en-US" w:eastAsia="zh-CN"/>
                              </w:rPr>
                              <w:t>本项目</w:t>
                            </w:r>
                          </w:p>
                        </w:txbxContent>
                      </wps:txbx>
                      <wps:bodyPr upright="1"/>
                    </wps:wsp>
                  </a:graphicData>
                </a:graphic>
              </wp:anchor>
            </w:drawing>
          </mc:Choice>
          <mc:Fallback>
            <w:pict>
              <v:shape id="_x0000_s1026" o:spid="_x0000_s1026" o:spt="62" type="#_x0000_t62" style="position:absolute;left:0pt;margin-left:299.75pt;margin-top:163.1pt;height:26.95pt;width:58.95pt;z-index:251675648;mso-width-relative:page;mso-height-relative:page;" fillcolor="#FFFFFF" filled="t" stroked="t" coordsize="21600,21600" o:gfxdata="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u5WFz2gAAAAsBAAAPAAAAAAAAAAEAIAAAACIAAABkcnMvZG93bnJl&#10;di54bWxQSwECFAAUAAAACACHTuJAYwA0JW0CAADtBAAADgAAAAAAAAABACAAAAApAQAAZHJzL2Uy&#10;b0RvYy54bWxQSwUGAAAAAAYABgBZAQAACAYAAAAA&#10;" adj="3518,46566,14400">
                <v:fill on="t" opacity="19004f" focussize="0,0"/>
                <v:stroke color="#000000" joinstyle="miter"/>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lang w:val="en-US" w:eastAsia="zh-CN"/>
                        </w:rPr>
                      </w:pPr>
                      <w:r>
                        <w:rPr>
                          <w:rFonts w:hint="eastAsia"/>
                          <w:b/>
                          <w:bCs/>
                          <w:color w:val="0000FF"/>
                          <w:lang w:val="en-US" w:eastAsia="zh-CN"/>
                        </w:rPr>
                        <w:t>本项目</w:t>
                      </w: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3686175</wp:posOffset>
                </wp:positionH>
                <wp:positionV relativeFrom="paragraph">
                  <wp:posOffset>2876550</wp:posOffset>
                </wp:positionV>
                <wp:extent cx="111760" cy="685165"/>
                <wp:effectExtent l="15875" t="15875" r="24765" b="22860"/>
                <wp:wrapNone/>
                <wp:docPr id="22" name="任意多边形 22"/>
                <wp:cNvGraphicFramePr/>
                <a:graphic xmlns:a="http://schemas.openxmlformats.org/drawingml/2006/main">
                  <a:graphicData uri="http://schemas.microsoft.com/office/word/2010/wordprocessingShape">
                    <wps:wsp>
                      <wps:cNvSpPr/>
                      <wps:spPr>
                        <a:xfrm flipH="1">
                          <a:off x="0" y="0"/>
                          <a:ext cx="111760" cy="685165"/>
                        </a:xfrm>
                        <a:custGeom>
                          <a:avLst/>
                          <a:gdLst>
                            <a:gd name="connsiteX0" fmla="*/ 0 w 1272"/>
                            <a:gd name="connsiteY0" fmla="*/ 1872 h 1872"/>
                            <a:gd name="connsiteX1" fmla="*/ 1272 w 1272"/>
                            <a:gd name="connsiteY1" fmla="*/ 0 h 1872"/>
                          </a:gdLst>
                          <a:ahLst/>
                          <a:cxnLst>
                            <a:cxn ang="0">
                              <a:pos x="connsiteX0" y="connsiteY0"/>
                            </a:cxn>
                            <a:cxn ang="0">
                              <a:pos x="connsiteX1" y="connsiteY1"/>
                            </a:cxn>
                          </a:cxnLst>
                          <a:rect l="l" t="t" r="r" b="b"/>
                          <a:pathLst>
                            <a:path w="1272" h="1872">
                              <a:moveTo>
                                <a:pt x="0" y="1872"/>
                              </a:moveTo>
                              <a:lnTo>
                                <a:pt x="1272" y="0"/>
                              </a:lnTo>
                            </a:path>
                          </a:pathLst>
                        </a:custGeom>
                        <a:ln w="31750" cap="rnd">
                          <a:solidFill>
                            <a:schemeClr val="accent6"/>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100" style="position:absolute;left:0pt;flip:x;margin-left:290.25pt;margin-top:226.5pt;height:53.95pt;width:8.8pt;z-index:251671552;mso-width-relative:page;mso-height-relative:page;" filled="f" stroked="t" coordsize="1272,1872" o:gfxdata="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EnxTU9kAAAALAQAADwAA&#10;AAAAAAABACAAAAAiAAAAZHJzL2Rvd25yZXYueG1sUEsBAhQAFAAAAAgAh07iQHTrer2HAgAAiAUA&#10;AA4AAAAAAAAAAQAgAAAAKAEAAGRycy9lMm9Eb2MueG1sUEsFBgAAAAAGAAYAWQEAACEGAAAAAA==&#10;" path="m0,1872l1272,0e">
                <v:path o:connectlocs="0,685165;111760,0" o:connectangles="0,0"/>
                <v:fill on="f" focussize="0,0"/>
                <v:stroke weight="2.5pt" color="#E54C5E [3209]" joinstyle="round" endcap="round"/>
                <v:imagedata o:title=""/>
                <o:lock v:ext="edit" aspectratio="f"/>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3805555</wp:posOffset>
                </wp:positionH>
                <wp:positionV relativeFrom="paragraph">
                  <wp:posOffset>3450590</wp:posOffset>
                </wp:positionV>
                <wp:extent cx="618490" cy="107315"/>
                <wp:effectExtent l="15875" t="15875" r="32385" b="29210"/>
                <wp:wrapNone/>
                <wp:docPr id="26" name="任意多边形 26"/>
                <wp:cNvGraphicFramePr/>
                <a:graphic xmlns:a="http://schemas.openxmlformats.org/drawingml/2006/main">
                  <a:graphicData uri="http://schemas.microsoft.com/office/word/2010/wordprocessingShape">
                    <wps:wsp>
                      <wps:cNvSpPr/>
                      <wps:spPr>
                        <a:xfrm>
                          <a:off x="0" y="0"/>
                          <a:ext cx="618490" cy="107315"/>
                        </a:xfrm>
                        <a:custGeom>
                          <a:avLst/>
                          <a:gdLst>
                            <a:gd name="connsiteX0" fmla="*/ 0 w 1272"/>
                            <a:gd name="connsiteY0" fmla="*/ 1872 h 1872"/>
                            <a:gd name="connsiteX1" fmla="*/ 1272 w 1272"/>
                            <a:gd name="connsiteY1" fmla="*/ 0 h 1872"/>
                          </a:gdLst>
                          <a:ahLst/>
                          <a:cxnLst>
                            <a:cxn ang="0">
                              <a:pos x="connsiteX0" y="connsiteY0"/>
                            </a:cxn>
                            <a:cxn ang="0">
                              <a:pos x="connsiteX1" y="connsiteY1"/>
                            </a:cxn>
                          </a:cxnLst>
                          <a:rect l="l" t="t" r="r" b="b"/>
                          <a:pathLst>
                            <a:path w="1272" h="1872">
                              <a:moveTo>
                                <a:pt x="0" y="1872"/>
                              </a:moveTo>
                              <a:lnTo>
                                <a:pt x="1272" y="0"/>
                              </a:lnTo>
                            </a:path>
                          </a:pathLst>
                        </a:custGeom>
                        <a:ln w="31750" cap="rnd">
                          <a:solidFill>
                            <a:schemeClr val="accent6"/>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100" style="position:absolute;left:0pt;margin-left:299.65pt;margin-top:271.7pt;height:8.45pt;width:48.7pt;z-index:251673600;mso-width-relative:page;mso-height-relative:page;" filled="f" stroked="t" coordsize="1272,1872" o:gfxdata="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PQHjrXYAAAACwEAAA8AAAAAAAAAAQAgAAAA&#10;IgAAAGRycy9kb3ducmV2LnhtbFBLAQIUABQAAAAIAIdO4kDqZ9hsfQIAAH4FAAAOAAAAAAAAAAEA&#10;IAAAACcBAABkcnMvZTJvRG9jLnhtbFBLBQYAAAAABgAGAFkBAAAWBgAAAAA=&#10;" path="m0,1872l1272,0e">
                <v:path o:connectlocs="0,107315;618490,0" o:connectangles="0,0"/>
                <v:fill on="f" focussize="0,0"/>
                <v:stroke weight="2.5pt" color="#E54C5E [3209]" joinstyle="round" endcap="round"/>
                <v:imagedata o:title=""/>
                <o:lock v:ext="edit" aspectratio="f"/>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4299585</wp:posOffset>
                </wp:positionH>
                <wp:positionV relativeFrom="paragraph">
                  <wp:posOffset>2770505</wp:posOffset>
                </wp:positionV>
                <wp:extent cx="118110" cy="681355"/>
                <wp:effectExtent l="15875" t="15875" r="18415" b="26670"/>
                <wp:wrapNone/>
                <wp:docPr id="23" name="任意多边形 23"/>
                <wp:cNvGraphicFramePr/>
                <a:graphic xmlns:a="http://schemas.openxmlformats.org/drawingml/2006/main">
                  <a:graphicData uri="http://schemas.microsoft.com/office/word/2010/wordprocessingShape">
                    <wps:wsp>
                      <wps:cNvSpPr/>
                      <wps:spPr>
                        <a:xfrm flipH="1">
                          <a:off x="0" y="0"/>
                          <a:ext cx="118110" cy="681355"/>
                        </a:xfrm>
                        <a:custGeom>
                          <a:avLst/>
                          <a:gdLst>
                            <a:gd name="connsiteX0" fmla="*/ 0 w 1272"/>
                            <a:gd name="connsiteY0" fmla="*/ 1872 h 1872"/>
                            <a:gd name="connsiteX1" fmla="*/ 1272 w 1272"/>
                            <a:gd name="connsiteY1" fmla="*/ 0 h 1872"/>
                          </a:gdLst>
                          <a:ahLst/>
                          <a:cxnLst>
                            <a:cxn ang="0">
                              <a:pos x="connsiteX0" y="connsiteY0"/>
                            </a:cxn>
                            <a:cxn ang="0">
                              <a:pos x="connsiteX1" y="connsiteY1"/>
                            </a:cxn>
                          </a:cxnLst>
                          <a:rect l="l" t="t" r="r" b="b"/>
                          <a:pathLst>
                            <a:path w="1272" h="1872">
                              <a:moveTo>
                                <a:pt x="0" y="1872"/>
                              </a:moveTo>
                              <a:lnTo>
                                <a:pt x="1272" y="0"/>
                              </a:lnTo>
                            </a:path>
                          </a:pathLst>
                        </a:custGeom>
                        <a:ln w="31750" cap="rnd">
                          <a:solidFill>
                            <a:schemeClr val="accent6"/>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100" style="position:absolute;left:0pt;flip:x;margin-left:338.55pt;margin-top:218.15pt;height:53.65pt;width:9.3pt;z-index:251672576;mso-width-relative:page;mso-height-relative:page;" filled="f" stroked="t" coordsize="1272,1872" o:gfxdata="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MkgpQrZAAAACwEAAA8AAAAA&#10;AAAAAQAgAAAAIgAAAGRycy9kb3ducmV2LnhtbFBLAQIUABQAAAAIAIdO4kDVQmfBhQIAAIgFAAAO&#10;AAAAAAAAAAEAIAAAACgBAABkcnMvZTJvRG9jLnhtbFBLBQYAAAAABgAGAFkBAAAfBgAAAAA=&#10;" path="m0,1872l1272,0e">
                <v:path o:connectlocs="0,681355;118110,0" o:connectangles="0,0"/>
                <v:fill on="f" focussize="0,0"/>
                <v:stroke weight="2.5pt" color="#E54C5E [3209]" joinstyle="round" endcap="round"/>
                <v:imagedata o:title=""/>
                <o:lock v:ext="edit" aspectratio="f"/>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3691255</wp:posOffset>
                </wp:positionH>
                <wp:positionV relativeFrom="paragraph">
                  <wp:posOffset>2769870</wp:posOffset>
                </wp:positionV>
                <wp:extent cx="602615" cy="103505"/>
                <wp:effectExtent l="15875" t="15875" r="29210" b="33020"/>
                <wp:wrapNone/>
                <wp:docPr id="27" name="任意多边形 27"/>
                <wp:cNvGraphicFramePr/>
                <a:graphic xmlns:a="http://schemas.openxmlformats.org/drawingml/2006/main">
                  <a:graphicData uri="http://schemas.microsoft.com/office/word/2010/wordprocessingShape">
                    <wps:wsp>
                      <wps:cNvSpPr/>
                      <wps:spPr>
                        <a:xfrm>
                          <a:off x="0" y="0"/>
                          <a:ext cx="602615" cy="103505"/>
                        </a:xfrm>
                        <a:custGeom>
                          <a:avLst/>
                          <a:gdLst>
                            <a:gd name="connsiteX0" fmla="*/ 0 w 1272"/>
                            <a:gd name="connsiteY0" fmla="*/ 1872 h 1872"/>
                            <a:gd name="connsiteX1" fmla="*/ 1272 w 1272"/>
                            <a:gd name="connsiteY1" fmla="*/ 0 h 1872"/>
                          </a:gdLst>
                          <a:ahLst/>
                          <a:cxnLst>
                            <a:cxn ang="0">
                              <a:pos x="connsiteX0" y="connsiteY0"/>
                            </a:cxn>
                            <a:cxn ang="0">
                              <a:pos x="connsiteX1" y="connsiteY1"/>
                            </a:cxn>
                          </a:cxnLst>
                          <a:rect l="l" t="t" r="r" b="b"/>
                          <a:pathLst>
                            <a:path w="1272" h="1872">
                              <a:moveTo>
                                <a:pt x="0" y="1872"/>
                              </a:moveTo>
                              <a:lnTo>
                                <a:pt x="1272" y="0"/>
                              </a:lnTo>
                            </a:path>
                          </a:pathLst>
                        </a:custGeom>
                        <a:ln w="31750" cap="rnd">
                          <a:solidFill>
                            <a:schemeClr val="accent6"/>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100" style="position:absolute;left:0pt;margin-left:290.65pt;margin-top:218.1pt;height:8.15pt;width:47.45pt;z-index:251674624;mso-width-relative:page;mso-height-relative:page;" filled="f" stroked="t" coordsize="1272,1872" o:gfxdata="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FaiFwfYAAAACwEAAA8AAAAAAAAAAQAgAAAA&#10;IgAAAGRycy9kb3ducmV2LnhtbFBLAQIUABQAAAAIAIdO4kDSi/nofQIAAH4FAAAOAAAAAAAAAAEA&#10;IAAAACcBAABkcnMvZTJvRG9jLnhtbFBLBQYAAAAABgAGAFkBAAAWBgAAAAA=&#10;" path="m0,1872l1272,0e">
                <v:path o:connectlocs="0,103505;602615,0" o:connectangles="0,0"/>
                <v:fill on="f" focussize="0,0"/>
                <v:stroke weight="2.5pt" color="#E54C5E [3209]" joinstyle="round" endcap="round"/>
                <v:imagedata o:title=""/>
                <o:lock v:ext="edit" aspectratio="f"/>
              </v:shape>
            </w:pict>
          </mc:Fallback>
        </mc:AlternateContent>
      </w:r>
      <w:r>
        <w:drawing>
          <wp:anchor distT="0" distB="0" distL="114300" distR="114300" simplePos="0" relativeHeight="251663360" behindDoc="0" locked="0" layoutInCell="1" allowOverlap="1">
            <wp:simplePos x="0" y="0"/>
            <wp:positionH relativeFrom="column">
              <wp:posOffset>4987290</wp:posOffset>
            </wp:positionH>
            <wp:positionV relativeFrom="paragraph">
              <wp:posOffset>678180</wp:posOffset>
            </wp:positionV>
            <wp:extent cx="495935" cy="645160"/>
            <wp:effectExtent l="0" t="0" r="18415" b="2540"/>
            <wp:wrapNone/>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pic:cNvPicPr>
                  </pic:nvPicPr>
                  <pic:blipFill>
                    <a:blip r:embed="rId26"/>
                    <a:stretch>
                      <a:fillRect/>
                    </a:stretch>
                  </pic:blipFill>
                  <pic:spPr>
                    <a:xfrm>
                      <a:off x="0" y="0"/>
                      <a:ext cx="495935" cy="645160"/>
                    </a:xfrm>
                    <a:prstGeom prst="rect">
                      <a:avLst/>
                    </a:prstGeom>
                    <a:noFill/>
                    <a:ln>
                      <a:noFill/>
                    </a:ln>
                  </pic:spPr>
                </pic:pic>
              </a:graphicData>
            </a:graphic>
          </wp:anchor>
        </w:drawing>
      </w:r>
      <w:r>
        <w:drawing>
          <wp:inline distT="0" distB="0" distL="114300" distR="114300">
            <wp:extent cx="5457825" cy="7648575"/>
            <wp:effectExtent l="0" t="0" r="9525" b="952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28"/>
                    <a:stretch>
                      <a:fillRect/>
                    </a:stretch>
                  </pic:blipFill>
                  <pic:spPr>
                    <a:xfrm>
                      <a:off x="0" y="0"/>
                      <a:ext cx="5457825" cy="7648575"/>
                    </a:xfrm>
                    <a:prstGeom prst="rect">
                      <a:avLst/>
                    </a:prstGeom>
                    <a:noFill/>
                    <a:ln>
                      <a:noFill/>
                    </a:ln>
                  </pic:spPr>
                </pic:pic>
              </a:graphicData>
            </a:graphic>
          </wp:inline>
        </w:drawing>
      </w:r>
      <w:r>
        <w:rPr>
          <w:sz w:val="24"/>
        </w:rPr>
        <mc:AlternateContent>
          <mc:Choice Requires="wps">
            <w:drawing>
              <wp:anchor distT="0" distB="0" distL="114300" distR="114300" simplePos="0" relativeHeight="251665408" behindDoc="0" locked="0" layoutInCell="1" allowOverlap="1">
                <wp:simplePos x="0" y="0"/>
                <wp:positionH relativeFrom="column">
                  <wp:posOffset>-5481320</wp:posOffset>
                </wp:positionH>
                <wp:positionV relativeFrom="paragraph">
                  <wp:posOffset>1421130</wp:posOffset>
                </wp:positionV>
                <wp:extent cx="491490" cy="324485"/>
                <wp:effectExtent l="0" t="0" r="0" b="0"/>
                <wp:wrapNone/>
                <wp:docPr id="11" name="文本框 11"/>
                <wp:cNvGraphicFramePr/>
                <a:graphic xmlns:a="http://schemas.openxmlformats.org/drawingml/2006/main">
                  <a:graphicData uri="http://schemas.microsoft.com/office/word/2010/wordprocessingShape">
                    <wps:wsp>
                      <wps:cNvSpPr txBox="1"/>
                      <wps:spPr>
                        <a:xfrm rot="1560000">
                          <a:off x="0" y="0"/>
                          <a:ext cx="491490"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泵房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1.6pt;margin-top:111.9pt;height:25.55pt;width:38.7pt;rotation:1703936f;z-index:251665408;mso-width-relative:page;mso-height-relative:page;" filled="f" stroked="f" coordsize="21600,21600" o:gfxdata="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x8SdPaAAAADQEAAA8AAAAAAAAAAQAgAAAA&#10;IgAAAGRycy9kb3ducmV2LnhtbFBLAQIUABQAAAAIAIdO4kDF3G3sQgIAAHUEAAAOAAAAAAAAAAEA&#10;IAAAACk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泵房</w:t>
                      </w:r>
                    </w:p>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-5068570</wp:posOffset>
                </wp:positionH>
                <wp:positionV relativeFrom="paragraph">
                  <wp:posOffset>1306195</wp:posOffset>
                </wp:positionV>
                <wp:extent cx="618490" cy="324485"/>
                <wp:effectExtent l="0" t="0" r="0" b="0"/>
                <wp:wrapNone/>
                <wp:docPr id="12" name="文本框 12"/>
                <wp:cNvGraphicFramePr/>
                <a:graphic xmlns:a="http://schemas.openxmlformats.org/drawingml/2006/main">
                  <a:graphicData uri="http://schemas.microsoft.com/office/word/2010/wordprocessingShape">
                    <wps:wsp>
                      <wps:cNvSpPr txBox="1"/>
                      <wps:spPr>
                        <a:xfrm rot="1560000">
                          <a:off x="0" y="0"/>
                          <a:ext cx="618490"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配电房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9.1pt;margin-top:102.85pt;height:25.55pt;width:48.7pt;rotation:1703936f;z-index:251666432;mso-width-relative:page;mso-height-relative:page;" filled="f" stroked="f" coordsize="21600,21600" o:gfxdata="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FZCZdkAAAANAQAADwAAAAAAAAABACAAAAAi&#10;AAAAZHJzL2Rvd25yZXYueG1sUEsBAhQAFAAAAAgAh07iQIasxopCAgAAdQQAAA4AAAAAAAAAAQAg&#10;AAAAKAEAAGRycy9lMm9Eb2MueG1sUEsFBgAAAAAGAAYAWQEAANw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配电房</w:t>
                      </w:r>
                    </w:p>
                  </w:txbxContent>
                </v:textbox>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-6198870</wp:posOffset>
                </wp:positionH>
                <wp:positionV relativeFrom="paragraph">
                  <wp:posOffset>772795</wp:posOffset>
                </wp:positionV>
                <wp:extent cx="744220" cy="497840"/>
                <wp:effectExtent l="0" t="0" r="0" b="0"/>
                <wp:wrapNone/>
                <wp:docPr id="13" name="文本框 13"/>
                <wp:cNvGraphicFramePr/>
                <a:graphic xmlns:a="http://schemas.openxmlformats.org/drawingml/2006/main">
                  <a:graphicData uri="http://schemas.microsoft.com/office/word/2010/wordprocessingShape">
                    <wps:wsp>
                      <wps:cNvSpPr txBox="1"/>
                      <wps:spPr>
                        <a:xfrm rot="1560000">
                          <a:off x="0" y="0"/>
                          <a:ext cx="74422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食堂及风雨操场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8.1pt;margin-top:60.85pt;height:39.2pt;width:58.6pt;rotation:1703936f;z-index:251667456;mso-width-relative:page;mso-height-relative:page;" filled="f" stroked="f" coordsize="21600,21600" o:gfxdata="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Egn7zYAAAADQEAAA8AAAAAAAAAAQAgAAAA&#10;IgAAAGRycy9kb3ducmV2LnhtbFBLAQIUABQAAAAIAIdO4kDtQ08jRAIAAHUEAAAOAAAAAAAAAAEA&#10;IAAAACc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食堂及风雨操场</w:t>
                      </w:r>
                    </w:p>
                  </w:txbxContent>
                </v:textbox>
              </v:shap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-7016750</wp:posOffset>
                </wp:positionH>
                <wp:positionV relativeFrom="paragraph">
                  <wp:posOffset>1986915</wp:posOffset>
                </wp:positionV>
                <wp:extent cx="898525" cy="324485"/>
                <wp:effectExtent l="0" t="0" r="0" b="0"/>
                <wp:wrapNone/>
                <wp:docPr id="15" name="文本框 15"/>
                <wp:cNvGraphicFramePr/>
                <a:graphic xmlns:a="http://schemas.openxmlformats.org/drawingml/2006/main">
                  <a:graphicData uri="http://schemas.microsoft.com/office/word/2010/wordprocessingShape">
                    <wps:wsp>
                      <wps:cNvSpPr txBox="1"/>
                      <wps:spPr>
                        <a:xfrm rot="1560000">
                          <a:off x="0" y="0"/>
                          <a:ext cx="898525"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教学楼C区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2.5pt;margin-top:156.45pt;height:25.55pt;width:70.75pt;rotation:1703936f;z-index:251669504;mso-width-relative:page;mso-height-relative:page;" filled="f" stroked="f" coordsize="21600,21600" o:gfxdata="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y4NkXbAAAADgEAAA8AAAAAAAAAAQAg&#10;AAAAIgAAAGRycy9kb3ducmV2LnhtbFBLAQIUABQAAAAIAIdO4kALitAWRAIAAHUEAAAOAAAAAAAA&#10;AAEAIAAAACoBAABkcnMvZTJvRG9jLnhtbFBLBQYAAAAABgAGAFkBAADg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教学楼C区</w:t>
                      </w:r>
                    </w:p>
                  </w:txbxContent>
                </v:textbox>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-7264400</wp:posOffset>
                </wp:positionH>
                <wp:positionV relativeFrom="paragraph">
                  <wp:posOffset>2577465</wp:posOffset>
                </wp:positionV>
                <wp:extent cx="898525" cy="324485"/>
                <wp:effectExtent l="0" t="0" r="0" b="0"/>
                <wp:wrapNone/>
                <wp:docPr id="16" name="文本框 16"/>
                <wp:cNvGraphicFramePr/>
                <a:graphic xmlns:a="http://schemas.openxmlformats.org/drawingml/2006/main">
                  <a:graphicData uri="http://schemas.microsoft.com/office/word/2010/wordprocessingShape">
                    <wps:wsp>
                      <wps:cNvSpPr txBox="1"/>
                      <wps:spPr>
                        <a:xfrm rot="1560000">
                          <a:off x="0" y="0"/>
                          <a:ext cx="898525"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教学楼B区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2pt;margin-top:202.95pt;height:25.55pt;width:70.75pt;rotation:1703936f;z-index:251670528;mso-width-relative:page;mso-height-relative:page;" filled="f" stroked="f" coordsize="21600,21600" o:gfxdata="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RP0r3NsAAAAPAQAADwAAAAAAAAABACAA&#10;AAAiAAAAZHJzL2Rvd25yZXYueG1sUEsBAhQAFAAAAAgAh07iQJWdPLtDAgAAdQQAAA4AAAAAAAAA&#10;AQAgAAAAKgEAAGRycy9lMm9Eb2MueG1sUEsFBgAAAAAGAAYAWQEAAN8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教学楼B区</w:t>
                      </w: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-7597775</wp:posOffset>
                </wp:positionH>
                <wp:positionV relativeFrom="paragraph">
                  <wp:posOffset>3215640</wp:posOffset>
                </wp:positionV>
                <wp:extent cx="898525" cy="324485"/>
                <wp:effectExtent l="0" t="0" r="0" b="0"/>
                <wp:wrapNone/>
                <wp:docPr id="14" name="文本框 14"/>
                <wp:cNvGraphicFramePr/>
                <a:graphic xmlns:a="http://schemas.openxmlformats.org/drawingml/2006/main">
                  <a:graphicData uri="http://schemas.microsoft.com/office/word/2010/wordprocessingShape">
                    <wps:wsp>
                      <wps:cNvSpPr txBox="1"/>
                      <wps:spPr>
                        <a:xfrm rot="1560000">
                          <a:off x="0" y="0"/>
                          <a:ext cx="898525"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教学楼A区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8.25pt;margin-top:253.2pt;height:25.55pt;width:70.75pt;rotation:1703936f;z-index:251668480;mso-width-relative:page;mso-height-relative:page;" filled="f" stroked="f" coordsize="21600,21600" o:gfxdata="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kpP92gAAAA8BAAAPAAAAAAAAAAEAIAAA&#10;ACIAAABkcnMvZG93bnJldi54bWxQSwECFAAUAAAACACHTuJAvnqkxEMCAAB1BAAADgAAAAAAAAAB&#10;ACAAAAApAQAAZHJzL2Uyb0RvYy54bWxQSwUGAAAAAAYABgBZAQAA3g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color w:val="0000FF"/>
                          <w:sz w:val="21"/>
                          <w:szCs w:val="21"/>
                          <w:lang w:val="en-US" w:eastAsia="zh-CN"/>
                        </w:rPr>
                      </w:pPr>
                      <w:r>
                        <w:rPr>
                          <w:rFonts w:hint="eastAsia" w:eastAsia="宋体"/>
                          <w:color w:val="0000FF"/>
                          <w:sz w:val="21"/>
                          <w:szCs w:val="21"/>
                          <w:lang w:val="en-US" w:eastAsia="zh-CN"/>
                        </w:rPr>
                        <w:t>教学楼A区</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-5849620</wp:posOffset>
                </wp:positionH>
                <wp:positionV relativeFrom="paragraph">
                  <wp:posOffset>4001770</wp:posOffset>
                </wp:positionV>
                <wp:extent cx="618490" cy="324485"/>
                <wp:effectExtent l="0" t="0" r="0" b="0"/>
                <wp:wrapNone/>
                <wp:docPr id="10" name="文本框 10"/>
                <wp:cNvGraphicFramePr/>
                <a:graphic xmlns:a="http://schemas.openxmlformats.org/drawingml/2006/main">
                  <a:graphicData uri="http://schemas.microsoft.com/office/word/2010/wordprocessingShape">
                    <wps:wsp>
                      <wps:cNvSpPr txBox="1"/>
                      <wps:spPr>
                        <a:xfrm rot="1560000">
                          <a:off x="3589020" y="2033905"/>
                          <a:ext cx="618490"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eastAsia" w:eastAsia="宋体"/>
                                <w:color w:val="0000FF"/>
                                <w:sz w:val="21"/>
                                <w:szCs w:val="21"/>
                                <w:lang w:val="en-US" w:eastAsia="zh-CN"/>
                              </w:rPr>
                            </w:pPr>
                            <w:r>
                              <w:rPr>
                                <w:rFonts w:hint="eastAsia"/>
                                <w:color w:val="0000FF"/>
                                <w:sz w:val="21"/>
                                <w:szCs w:val="21"/>
                                <w:lang w:val="en-US" w:eastAsia="zh-CN"/>
                              </w:rPr>
                              <w:t>综合楼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0.6pt;margin-top:315.1pt;height:25.55pt;width:48.7pt;rotation:1703936f;z-index:251664384;mso-width-relative:page;mso-height-relative:page;" filled="f" stroked="f" coordsize="21600,21600" o:gfxdata="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kc7/qdkAAAANAQAADwAA&#10;AAAAAAABACAAAAAiAAAAZHJzL2Rvd25yZXYueG1sUEsBAhQAFAAAAAgAh07iQLQfoWxOAgAAgQQA&#10;AA4AAAAAAAAAAQAgAAAAKAEAAGRycy9lMm9Eb2MueG1sUEsFBgAAAAAGAAYAWQEAAOg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eastAsia" w:eastAsia="宋体"/>
                          <w:color w:val="0000FF"/>
                          <w:sz w:val="21"/>
                          <w:szCs w:val="21"/>
                          <w:lang w:val="en-US" w:eastAsia="zh-CN"/>
                        </w:rPr>
                      </w:pPr>
                      <w:r>
                        <w:rPr>
                          <w:rFonts w:hint="eastAsia"/>
                          <w:color w:val="0000FF"/>
                          <w:sz w:val="21"/>
                          <w:szCs w:val="21"/>
                          <w:lang w:val="en-US" w:eastAsia="zh-CN"/>
                        </w:rPr>
                        <w:t>综合楼</w:t>
                      </w:r>
                    </w:p>
                  </w:txbxContent>
                </v:textbox>
              </v:shape>
            </w:pict>
          </mc:Fallback>
        </mc:AlternateContent>
      </w:r>
    </w:p>
    <w:p>
      <w:pPr>
        <w:pStyle w:val="23"/>
        <w:ind w:left="0" w:leftChars="0" w:firstLine="0" w:firstLineChars="0"/>
        <w:jc w:val="left"/>
        <w:rPr>
          <w:sz w:val="24"/>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drawing>
          <wp:anchor distT="0" distB="0" distL="114300" distR="114300" simplePos="0" relativeHeight="251676672" behindDoc="0" locked="0" layoutInCell="1" allowOverlap="1">
            <wp:simplePos x="0" y="0"/>
            <wp:positionH relativeFrom="column">
              <wp:posOffset>5161280</wp:posOffset>
            </wp:positionH>
            <wp:positionV relativeFrom="paragraph">
              <wp:posOffset>360045</wp:posOffset>
            </wp:positionV>
            <wp:extent cx="495935" cy="645160"/>
            <wp:effectExtent l="0" t="0" r="18415" b="2540"/>
            <wp:wrapNone/>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pic:cNvPicPr>
                      <a:picLocks noChangeAspect="1"/>
                    </pic:cNvPicPr>
                  </pic:nvPicPr>
                  <pic:blipFill>
                    <a:blip r:embed="rId26"/>
                    <a:stretch>
                      <a:fillRect/>
                    </a:stretch>
                  </pic:blipFill>
                  <pic:spPr>
                    <a:xfrm>
                      <a:off x="0" y="0"/>
                      <a:ext cx="495935" cy="645160"/>
                    </a:xfrm>
                    <a:prstGeom prst="rect">
                      <a:avLst/>
                    </a:prstGeom>
                    <a:noFill/>
                    <a:ln>
                      <a:noFill/>
                    </a:ln>
                  </pic:spPr>
                </pic:pic>
              </a:graphicData>
            </a:graphic>
          </wp:anchor>
        </w:drawing>
      </w:r>
      <w:r>
        <w:rPr>
          <w:rFonts w:hint="eastAsia"/>
          <w:b/>
          <w:bCs/>
        </w:rPr>
        <w:t>附图</w:t>
      </w:r>
      <w:r>
        <w:rPr>
          <w:rFonts w:hint="eastAsia"/>
          <w:b/>
          <w:bCs/>
          <w:lang w:val="en-US" w:eastAsia="zh-CN"/>
        </w:rPr>
        <w:t>3</w:t>
      </w:r>
      <w:r>
        <w:rPr>
          <w:rFonts w:hint="eastAsia"/>
          <w:b/>
          <w:bCs/>
        </w:rPr>
        <w:t xml:space="preserve"> </w:t>
      </w:r>
      <w:r>
        <w:rPr>
          <w:rFonts w:hint="eastAsia"/>
          <w:b/>
          <w:bCs/>
          <w:lang w:val="en-US" w:eastAsia="zh-CN"/>
        </w:rPr>
        <w:t>雨水管网</w:t>
      </w:r>
      <w:r>
        <w:rPr>
          <w:rFonts w:hint="eastAsia"/>
          <w:b/>
          <w:bCs/>
        </w:rPr>
        <w:t>图</w:t>
      </w:r>
      <w:r>
        <w:drawing>
          <wp:inline distT="0" distB="0" distL="114300" distR="114300">
            <wp:extent cx="5730875" cy="8097520"/>
            <wp:effectExtent l="0" t="0" r="3175" b="1778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pic:cNvPicPr>
                  </pic:nvPicPr>
                  <pic:blipFill>
                    <a:blip r:embed="rId29"/>
                    <a:stretch>
                      <a:fillRect/>
                    </a:stretch>
                  </pic:blipFill>
                  <pic:spPr>
                    <a:xfrm>
                      <a:off x="0" y="0"/>
                      <a:ext cx="5730875" cy="8097520"/>
                    </a:xfrm>
                    <a:prstGeom prst="rect">
                      <a:avLst/>
                    </a:prstGeom>
                    <a:noFill/>
                    <a:ln>
                      <a:noFill/>
                    </a:ln>
                  </pic:spPr>
                </pic:pic>
              </a:graphicData>
            </a:graphic>
          </wp:inline>
        </w:drawing>
      </w: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outlineLvl w:val="9"/>
        <w:rPr>
          <w:rFonts w:hint="eastAsia" w:ascii="Times New Roman" w:hAnsi="Times New Roman" w:eastAsia="宋体" w:cs="Times New Roman"/>
          <w:b/>
          <w:bCs/>
          <w:color w:val="auto"/>
          <w:sz w:val="24"/>
          <w:szCs w:val="24"/>
          <w:vertAlign w:val="baseline"/>
          <w:lang w:val="en-US" w:eastAsia="zh-CN"/>
        </w:rPr>
      </w:pPr>
      <w:r>
        <w:rPr>
          <w:rFonts w:hint="eastAsia" w:ascii="Times New Roman" w:hAnsi="Times New Roman" w:eastAsia="宋体" w:cs="Times New Roman"/>
          <w:b/>
          <w:bCs/>
          <w:color w:val="auto"/>
          <w:sz w:val="24"/>
          <w:szCs w:val="24"/>
          <w:vertAlign w:val="baseline"/>
          <w:lang w:val="en-US" w:eastAsia="zh-CN"/>
        </w:rPr>
        <w:t>附图</w:t>
      </w:r>
      <w:r>
        <w:rPr>
          <w:rFonts w:hint="eastAsia" w:ascii="Times New Roman" w:hAnsi="Times New Roman" w:cs="Times New Roman"/>
          <w:b/>
          <w:bCs/>
          <w:color w:val="auto"/>
          <w:sz w:val="24"/>
          <w:szCs w:val="24"/>
          <w:vertAlign w:val="baseline"/>
          <w:lang w:val="en-US" w:eastAsia="zh-CN"/>
        </w:rPr>
        <w:t>4</w:t>
      </w:r>
      <w:r>
        <w:rPr>
          <w:rFonts w:hint="eastAsia" w:ascii="Times New Roman" w:hAnsi="Times New Roman" w:eastAsia="宋体" w:cs="Times New Roman"/>
          <w:b/>
          <w:bCs/>
          <w:color w:val="auto"/>
          <w:sz w:val="24"/>
          <w:szCs w:val="24"/>
          <w:vertAlign w:val="baseline"/>
          <w:lang w:val="en-US" w:eastAsia="zh-CN"/>
        </w:rPr>
        <w:t xml:space="preserve"> 现场监测图</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2"/>
        <w:gridCol w:w="4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tcBorders>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drawing>
                <wp:inline distT="0" distB="0" distL="114300" distR="114300">
                  <wp:extent cx="2777490" cy="3703320"/>
                  <wp:effectExtent l="0" t="0" r="3810" b="11430"/>
                  <wp:docPr id="66" name="图片 66" descr="20240306151401000-2-614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20240306151401000-2-614240"/>
                          <pic:cNvPicPr>
                            <a:picLocks noChangeAspect="1"/>
                          </pic:cNvPicPr>
                        </pic:nvPicPr>
                        <pic:blipFill>
                          <a:blip r:embed="rId30"/>
                          <a:stretch>
                            <a:fillRect/>
                          </a:stretch>
                        </pic:blipFill>
                        <pic:spPr>
                          <a:xfrm>
                            <a:off x="0" y="0"/>
                            <a:ext cx="2777490" cy="3703320"/>
                          </a:xfrm>
                          <a:prstGeom prst="rect">
                            <a:avLst/>
                          </a:prstGeom>
                        </pic:spPr>
                      </pic:pic>
                    </a:graphicData>
                  </a:graphic>
                </wp:inline>
              </w:drawing>
            </w:r>
          </w:p>
        </w:tc>
        <w:tc>
          <w:tcPr>
            <w:tcW w:w="4412" w:type="dxa"/>
            <w:tcBorders>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drawing>
                <wp:inline distT="0" distB="0" distL="114300" distR="114300">
                  <wp:extent cx="2778125" cy="3704590"/>
                  <wp:effectExtent l="0" t="0" r="3175" b="10160"/>
                  <wp:docPr id="67" name="图片 67" descr="20240306220011000-3-433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20240306220011000-3-433735"/>
                          <pic:cNvPicPr>
                            <a:picLocks noChangeAspect="1"/>
                          </pic:cNvPicPr>
                        </pic:nvPicPr>
                        <pic:blipFill>
                          <a:blip r:embed="rId31"/>
                          <a:stretch>
                            <a:fillRect/>
                          </a:stretch>
                        </pic:blipFill>
                        <pic:spPr>
                          <a:xfrm>
                            <a:off x="0" y="0"/>
                            <a:ext cx="2778125" cy="3704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4#楼1层靠近道路一侧窗外1m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7490" cy="3703320"/>
                  <wp:effectExtent l="0" t="0" r="3810" b="11430"/>
                  <wp:docPr id="71" name="图片 71" descr="20240306155820000-4-43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20240306155820000-4-438456"/>
                          <pic:cNvPicPr>
                            <a:picLocks noChangeAspect="1"/>
                          </pic:cNvPicPr>
                        </pic:nvPicPr>
                        <pic:blipFill>
                          <a:blip r:embed="rId32"/>
                          <a:stretch>
                            <a:fillRect/>
                          </a:stretch>
                        </pic:blipFill>
                        <pic:spPr>
                          <a:xfrm>
                            <a:off x="0" y="0"/>
                            <a:ext cx="2777490" cy="3703320"/>
                          </a:xfrm>
                          <a:prstGeom prst="rect">
                            <a:avLst/>
                          </a:prstGeom>
                        </pic:spPr>
                      </pic:pic>
                    </a:graphicData>
                  </a:graphic>
                </wp:inline>
              </w:drawing>
            </w:r>
          </w:p>
        </w:tc>
        <w:tc>
          <w:tcPr>
            <w:tcW w:w="441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660650" cy="3547745"/>
                  <wp:effectExtent l="0" t="0" r="6350" b="14605"/>
                  <wp:docPr id="68" name="图片 68" descr="20240306222121000-2-383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20240306222121000-2-383589"/>
                          <pic:cNvPicPr>
                            <a:picLocks noChangeAspect="1"/>
                          </pic:cNvPicPr>
                        </pic:nvPicPr>
                        <pic:blipFill>
                          <a:blip r:embed="rId33"/>
                          <a:stretch>
                            <a:fillRect/>
                          </a:stretch>
                        </pic:blipFill>
                        <pic:spPr>
                          <a:xfrm>
                            <a:off x="0" y="0"/>
                            <a:ext cx="2660650" cy="35477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w:t>
            </w:r>
            <w:r>
              <w:rPr>
                <w:rFonts w:hint="eastAsia" w:eastAsia="宋体" w:cs="Times New Roman"/>
                <w:color w:val="auto"/>
                <w:sz w:val="21"/>
                <w:szCs w:val="21"/>
                <w:vertAlign w:val="baseline"/>
                <w:lang w:val="en-US" w:eastAsia="zh-CN"/>
              </w:rPr>
              <w:t>3</w:t>
            </w:r>
            <w:r>
              <w:rPr>
                <w:rFonts w:hint="default" w:ascii="Times New Roman" w:hAnsi="Times New Roman" w:eastAsia="宋体" w:cs="Times New Roman"/>
                <w:color w:val="auto"/>
                <w:sz w:val="21"/>
                <w:szCs w:val="21"/>
                <w:vertAlign w:val="baseline"/>
                <w:lang w:val="en-US" w:eastAsia="zh-CN"/>
              </w:rPr>
              <w:t>层靠近道路一侧窗外1m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7490" cy="3703320"/>
                  <wp:effectExtent l="0" t="0" r="3810" b="11430"/>
                  <wp:docPr id="70" name="图片 70" descr="20240306154220000-9-43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20240306154220000-9-431807"/>
                          <pic:cNvPicPr>
                            <a:picLocks noChangeAspect="1"/>
                          </pic:cNvPicPr>
                        </pic:nvPicPr>
                        <pic:blipFill>
                          <a:blip r:embed="rId34"/>
                          <a:stretch>
                            <a:fillRect/>
                          </a:stretch>
                        </pic:blipFill>
                        <pic:spPr>
                          <a:xfrm>
                            <a:off x="0" y="0"/>
                            <a:ext cx="2777490" cy="3703320"/>
                          </a:xfrm>
                          <a:prstGeom prst="rect">
                            <a:avLst/>
                          </a:prstGeom>
                        </pic:spPr>
                      </pic:pic>
                    </a:graphicData>
                  </a:graphic>
                </wp:inline>
              </w:drawing>
            </w:r>
          </w:p>
        </w:tc>
        <w:tc>
          <w:tcPr>
            <w:tcW w:w="441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8125" cy="3704590"/>
                  <wp:effectExtent l="0" t="0" r="3175" b="10160"/>
                  <wp:docPr id="69" name="图片 69" descr="20240306224318000-1-417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20240306224318000-1-417773"/>
                          <pic:cNvPicPr>
                            <a:picLocks noChangeAspect="1"/>
                          </pic:cNvPicPr>
                        </pic:nvPicPr>
                        <pic:blipFill>
                          <a:blip r:embed="rId35"/>
                          <a:stretch>
                            <a:fillRect/>
                          </a:stretch>
                        </pic:blipFill>
                        <pic:spPr>
                          <a:xfrm>
                            <a:off x="0" y="0"/>
                            <a:ext cx="2778125" cy="3704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w:t>
            </w:r>
            <w:r>
              <w:rPr>
                <w:rFonts w:hint="eastAsia" w:eastAsia="宋体" w:cs="Times New Roman"/>
                <w:color w:val="auto"/>
                <w:sz w:val="21"/>
                <w:szCs w:val="21"/>
                <w:vertAlign w:val="baseline"/>
                <w:lang w:val="en-US" w:eastAsia="zh-CN"/>
              </w:rPr>
              <w:t>6</w:t>
            </w:r>
            <w:r>
              <w:rPr>
                <w:rFonts w:hint="default" w:ascii="Times New Roman" w:hAnsi="Times New Roman" w:eastAsia="宋体" w:cs="Times New Roman"/>
                <w:color w:val="auto"/>
                <w:sz w:val="21"/>
                <w:szCs w:val="21"/>
                <w:vertAlign w:val="baseline"/>
                <w:lang w:val="en-US" w:eastAsia="zh-CN"/>
              </w:rPr>
              <w:t>层靠近道路一侧窗外1m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7490" cy="3703320"/>
                  <wp:effectExtent l="0" t="0" r="3810" b="11430"/>
                  <wp:docPr id="72" name="图片 72" descr="20240307123107000-3-520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20240307123107000-3-520984"/>
                          <pic:cNvPicPr>
                            <a:picLocks noChangeAspect="1"/>
                          </pic:cNvPicPr>
                        </pic:nvPicPr>
                        <pic:blipFill>
                          <a:blip r:embed="rId36"/>
                          <a:stretch>
                            <a:fillRect/>
                          </a:stretch>
                        </pic:blipFill>
                        <pic:spPr>
                          <a:xfrm>
                            <a:off x="0" y="0"/>
                            <a:ext cx="2777490" cy="3703320"/>
                          </a:xfrm>
                          <a:prstGeom prst="rect">
                            <a:avLst/>
                          </a:prstGeom>
                        </pic:spPr>
                      </pic:pic>
                    </a:graphicData>
                  </a:graphic>
                </wp:inline>
              </w:drawing>
            </w:r>
          </w:p>
        </w:tc>
        <w:tc>
          <w:tcPr>
            <w:tcW w:w="441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660650" cy="3547745"/>
                  <wp:effectExtent l="0" t="0" r="6350" b="14605"/>
                  <wp:docPr id="75" name="图片 75" descr="20240307220514000-5-372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20240307220514000-5-372031"/>
                          <pic:cNvPicPr>
                            <a:picLocks noChangeAspect="1"/>
                          </pic:cNvPicPr>
                        </pic:nvPicPr>
                        <pic:blipFill>
                          <a:blip r:embed="rId37"/>
                          <a:stretch>
                            <a:fillRect/>
                          </a:stretch>
                        </pic:blipFill>
                        <pic:spPr>
                          <a:xfrm>
                            <a:off x="0" y="0"/>
                            <a:ext cx="2660650" cy="35477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4#楼1层靠近道路一侧窗外1m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7490" cy="3703320"/>
                  <wp:effectExtent l="0" t="0" r="3810" b="11430"/>
                  <wp:docPr id="73" name="图片 73" descr="20240307125245000-4-41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20240307125245000-4-415660"/>
                          <pic:cNvPicPr>
                            <a:picLocks noChangeAspect="1"/>
                          </pic:cNvPicPr>
                        </pic:nvPicPr>
                        <pic:blipFill>
                          <a:blip r:embed="rId38"/>
                          <a:stretch>
                            <a:fillRect/>
                          </a:stretch>
                        </pic:blipFill>
                        <pic:spPr>
                          <a:xfrm>
                            <a:off x="0" y="0"/>
                            <a:ext cx="2777490" cy="3703320"/>
                          </a:xfrm>
                          <a:prstGeom prst="rect">
                            <a:avLst/>
                          </a:prstGeom>
                        </pic:spPr>
                      </pic:pic>
                    </a:graphicData>
                  </a:graphic>
                </wp:inline>
              </w:drawing>
            </w:r>
          </w:p>
        </w:tc>
        <w:tc>
          <w:tcPr>
            <w:tcW w:w="441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660650" cy="3547745"/>
                  <wp:effectExtent l="0" t="0" r="6350" b="14605"/>
                  <wp:docPr id="76" name="图片 76" descr="20240307222548000-8-363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20240307222548000-8-363552"/>
                          <pic:cNvPicPr>
                            <a:picLocks noChangeAspect="1"/>
                          </pic:cNvPicPr>
                        </pic:nvPicPr>
                        <pic:blipFill>
                          <a:blip r:embed="rId39"/>
                          <a:stretch>
                            <a:fillRect/>
                          </a:stretch>
                        </pic:blipFill>
                        <pic:spPr>
                          <a:xfrm>
                            <a:off x="0" y="0"/>
                            <a:ext cx="2660650" cy="35477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w:t>
            </w:r>
            <w:r>
              <w:rPr>
                <w:rFonts w:hint="eastAsia" w:eastAsia="宋体" w:cs="Times New Roman"/>
                <w:color w:val="auto"/>
                <w:sz w:val="21"/>
                <w:szCs w:val="21"/>
                <w:vertAlign w:val="baseline"/>
                <w:lang w:val="en-US" w:eastAsia="zh-CN"/>
              </w:rPr>
              <w:t>3</w:t>
            </w:r>
            <w:r>
              <w:rPr>
                <w:rFonts w:hint="default" w:ascii="Times New Roman" w:hAnsi="Times New Roman" w:eastAsia="宋体" w:cs="Times New Roman"/>
                <w:color w:val="auto"/>
                <w:sz w:val="21"/>
                <w:szCs w:val="21"/>
                <w:vertAlign w:val="baseline"/>
                <w:lang w:val="en-US" w:eastAsia="zh-CN"/>
              </w:rPr>
              <w:t>层靠近道路一侧窗外1m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777490" cy="3703320"/>
                  <wp:effectExtent l="0" t="0" r="3810" b="11430"/>
                  <wp:docPr id="74" name="图片 74" descr="20240307131449000-2-409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20240307131449000-2-409980"/>
                          <pic:cNvPicPr>
                            <a:picLocks noChangeAspect="1"/>
                          </pic:cNvPicPr>
                        </pic:nvPicPr>
                        <pic:blipFill>
                          <a:blip r:embed="rId40"/>
                          <a:stretch>
                            <a:fillRect/>
                          </a:stretch>
                        </pic:blipFill>
                        <pic:spPr>
                          <a:xfrm>
                            <a:off x="0" y="0"/>
                            <a:ext cx="2777490" cy="3703320"/>
                          </a:xfrm>
                          <a:prstGeom prst="rect">
                            <a:avLst/>
                          </a:prstGeom>
                        </pic:spPr>
                      </pic:pic>
                    </a:graphicData>
                  </a:graphic>
                </wp:inline>
              </w:drawing>
            </w:r>
          </w:p>
        </w:tc>
        <w:tc>
          <w:tcPr>
            <w:tcW w:w="441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drawing>
                <wp:inline distT="0" distB="0" distL="114300" distR="114300">
                  <wp:extent cx="2660650" cy="3547745"/>
                  <wp:effectExtent l="0" t="0" r="6350" b="14605"/>
                  <wp:docPr id="77" name="图片 77" descr="20240307224718000-7-392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20240307224718000-7-392991"/>
                          <pic:cNvPicPr>
                            <a:picLocks noChangeAspect="1"/>
                          </pic:cNvPicPr>
                        </pic:nvPicPr>
                        <pic:blipFill>
                          <a:blip r:embed="rId41"/>
                          <a:stretch>
                            <a:fillRect/>
                          </a:stretch>
                        </pic:blipFill>
                        <pic:spPr>
                          <a:xfrm>
                            <a:off x="0" y="0"/>
                            <a:ext cx="2660650" cy="35477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4#楼</w:t>
            </w:r>
            <w:r>
              <w:rPr>
                <w:rFonts w:hint="eastAsia" w:eastAsia="宋体" w:cs="Times New Roman"/>
                <w:color w:val="auto"/>
                <w:sz w:val="21"/>
                <w:szCs w:val="21"/>
                <w:vertAlign w:val="baseline"/>
                <w:lang w:val="en-US" w:eastAsia="zh-CN"/>
              </w:rPr>
              <w:t>6</w:t>
            </w:r>
            <w:r>
              <w:rPr>
                <w:rFonts w:hint="default" w:ascii="Times New Roman" w:hAnsi="Times New Roman" w:eastAsia="宋体" w:cs="Times New Roman"/>
                <w:color w:val="auto"/>
                <w:sz w:val="21"/>
                <w:szCs w:val="21"/>
                <w:vertAlign w:val="baseline"/>
                <w:lang w:val="en-US" w:eastAsia="zh-CN"/>
              </w:rPr>
              <w:t>层靠近道路一侧窗外1m</w:t>
            </w:r>
          </w:p>
        </w:tc>
      </w:tr>
    </w:tbl>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outlineLvl w:val="9"/>
        <w:rPr>
          <w:rFonts w:hint="eastAsia" w:ascii="Times New Roman" w:hAnsi="Times New Roman" w:eastAsia="宋体" w:cs="Times New Roman"/>
          <w:b/>
          <w:bCs/>
          <w:color w:val="auto"/>
          <w:sz w:val="24"/>
          <w:szCs w:val="24"/>
          <w:vertAlign w:val="baseline"/>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23"/>
        <w:keepNext w:val="0"/>
        <w:keepLines w:val="0"/>
        <w:pageBreakBefore w:val="0"/>
        <w:widowControl w:val="0"/>
        <w:kinsoku/>
        <w:wordWrap/>
        <w:overflowPunct w:val="0"/>
        <w:topLinePunct w:val="0"/>
        <w:autoSpaceDE/>
        <w:autoSpaceDN/>
        <w:bidi w:val="0"/>
        <w:adjustRightInd/>
        <w:snapToGrid w:val="0"/>
        <w:ind w:firstLine="0" w:firstLineChars="0"/>
        <w:textAlignment w:val="auto"/>
        <w:outlineLvl w:val="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 xml:space="preserve">附件1 </w:t>
      </w:r>
      <w:r>
        <w:rPr>
          <w:rFonts w:hint="eastAsia" w:ascii="Times New Roman" w:hAnsi="Times New Roman" w:cs="Times New Roman"/>
          <w:b/>
          <w:bCs/>
          <w:lang w:val="en-US" w:eastAsia="zh-CN"/>
        </w:rPr>
        <w:t>委托书</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sz w:val="48"/>
          <w:szCs w:val="48"/>
        </w:rPr>
      </w:pPr>
      <w:r>
        <w:rPr>
          <w:rFonts w:hint="default" w:ascii="Times New Roman" w:hAnsi="Times New Roman" w:eastAsia="宋体" w:cs="Times New Roman"/>
          <w:b/>
          <w:bCs/>
          <w:sz w:val="44"/>
          <w:szCs w:val="44"/>
        </w:rPr>
        <w:t>委托书</w:t>
      </w:r>
    </w:p>
    <w:p>
      <w:pPr>
        <w:rPr>
          <w:rFonts w:hint="default" w:ascii="Times New Roman" w:hAnsi="Times New Roman" w:eastAsia="宋体" w:cs="Times New Roman"/>
        </w:rPr>
      </w:pPr>
    </w:p>
    <w:p>
      <w:pPr>
        <w:rPr>
          <w:rFonts w:hint="default" w:ascii="Times New Roman" w:hAnsi="Times New Roman" w:eastAsia="宋体" w:cs="Times New Roman"/>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安徽海峰分析测试科技有限公司</w:t>
      </w:r>
      <w:r>
        <w:rPr>
          <w:rFonts w:hint="default" w:ascii="Times New Roman" w:hAnsi="Times New Roman" w:eastAsia="宋体"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为贯彻落实国家关于开发建设项目执行环保</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三同时</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制度，现委托贵公司对合肥市工程技术学校学生宿舍楼建设项目进行环境保护设施竣工验收监测，并出具监测报告。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特此委托</w:t>
      </w:r>
      <w:r>
        <w:rPr>
          <w:rFonts w:hint="default" w:ascii="Times New Roman" w:hAnsi="Times New Roman" w:eastAsia="宋体"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合肥市工程技术学校</w:t>
      </w:r>
    </w:p>
    <w:p>
      <w:pPr>
        <w:pStyle w:val="4"/>
        <w:keepNext w:val="0"/>
        <w:keepLines w:val="0"/>
        <w:pageBreakBefore w:val="0"/>
        <w:widowControl w:val="0"/>
        <w:kinsoku/>
        <w:wordWrap/>
        <w:overflowPunct/>
        <w:topLinePunct w:val="0"/>
        <w:autoSpaceDE/>
        <w:autoSpaceDN/>
        <w:bidi w:val="0"/>
        <w:adjustRightInd/>
        <w:snapToGrid/>
        <w:spacing w:after="0" w:line="360" w:lineRule="auto"/>
        <w:jc w:val="right"/>
        <w:textAlignment w:val="auto"/>
        <w:rPr>
          <w:rFonts w:hint="default"/>
        </w:rPr>
      </w:pPr>
      <w:r>
        <w:rPr>
          <w:rFonts w:hint="eastAsia" w:ascii="Times New Roman" w:hAnsi="Times New Roman" w:eastAsia="宋体" w:cs="Times New Roman"/>
          <w:b w:val="0"/>
          <w:bCs w:val="0"/>
          <w:sz w:val="28"/>
          <w:szCs w:val="28"/>
          <w:lang w:val="en-US" w:eastAsia="zh-CN"/>
        </w:rPr>
        <w:t>202</w:t>
      </w:r>
      <w:r>
        <w:rPr>
          <w:rFonts w:hint="eastAsia" w:cs="Times New Roman"/>
          <w:b w:val="0"/>
          <w:bCs w:val="0"/>
          <w:sz w:val="28"/>
          <w:szCs w:val="28"/>
          <w:lang w:val="en-US" w:eastAsia="zh-CN"/>
        </w:rPr>
        <w:t>4</w:t>
      </w:r>
      <w:r>
        <w:rPr>
          <w:rFonts w:hint="eastAsia" w:ascii="Times New Roman" w:hAnsi="Times New Roman" w:eastAsia="宋体" w:cs="Times New Roman"/>
          <w:b w:val="0"/>
          <w:bCs w:val="0"/>
          <w:sz w:val="28"/>
          <w:szCs w:val="28"/>
          <w:lang w:val="en-US" w:eastAsia="zh-CN"/>
        </w:rPr>
        <w:t>年</w:t>
      </w:r>
      <w:r>
        <w:rPr>
          <w:rFonts w:hint="eastAsia" w:cs="Times New Roman"/>
          <w:b w:val="0"/>
          <w:bCs w:val="0"/>
          <w:sz w:val="28"/>
          <w:szCs w:val="28"/>
          <w:lang w:val="en-US" w:eastAsia="zh-CN"/>
        </w:rPr>
        <w:t>1</w:t>
      </w:r>
      <w:r>
        <w:rPr>
          <w:rFonts w:hint="eastAsia" w:ascii="Times New Roman" w:hAnsi="Times New Roman" w:eastAsia="宋体" w:cs="Times New Roman"/>
          <w:b w:val="0"/>
          <w:bCs w:val="0"/>
          <w:sz w:val="28"/>
          <w:szCs w:val="28"/>
          <w:lang w:val="en-US" w:eastAsia="zh-CN"/>
        </w:rPr>
        <w:t>月</w:t>
      </w:r>
      <w:r>
        <w:rPr>
          <w:rFonts w:hint="eastAsia" w:cs="Times New Roman"/>
          <w:b w:val="0"/>
          <w:bCs w:val="0"/>
          <w:sz w:val="28"/>
          <w:szCs w:val="28"/>
          <w:lang w:val="en-US" w:eastAsia="zh-CN"/>
        </w:rPr>
        <w:t>5</w:t>
      </w:r>
      <w:r>
        <w:rPr>
          <w:rFonts w:hint="eastAsia" w:ascii="Times New Roman" w:hAnsi="Times New Roman" w:eastAsia="宋体" w:cs="Times New Roman"/>
          <w:b w:val="0"/>
          <w:bCs w:val="0"/>
          <w:sz w:val="28"/>
          <w:szCs w:val="28"/>
          <w:lang w:val="en-US" w:eastAsia="zh-CN"/>
        </w:rPr>
        <w:t>日</w:t>
      </w:r>
    </w:p>
    <w:p>
      <w:pPr>
        <w:rPr>
          <w:rFonts w:hint="default"/>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pStyle w:val="23"/>
        <w:keepNext w:val="0"/>
        <w:keepLines w:val="0"/>
        <w:pageBreakBefore w:val="0"/>
        <w:widowControl w:val="0"/>
        <w:kinsoku/>
        <w:wordWrap/>
        <w:overflowPunct w:val="0"/>
        <w:topLinePunct w:val="0"/>
        <w:autoSpaceDE/>
        <w:autoSpaceDN/>
        <w:bidi w:val="0"/>
        <w:adjustRightInd/>
        <w:snapToGrid w:val="0"/>
        <w:ind w:firstLine="0" w:firstLineChars="0"/>
        <w:textAlignment w:val="auto"/>
        <w:outlineLvl w:val="0"/>
        <w:rPr>
          <w:rFonts w:hint="default" w:ascii="Times New Roman" w:hAnsi="Times New Roman" w:cs="Times New Roman"/>
          <w:b/>
          <w:bCs/>
          <w:lang w:val="en-US" w:eastAsia="zh-CN"/>
        </w:rPr>
      </w:pPr>
      <w:r>
        <w:rPr>
          <w:rFonts w:hint="default" w:ascii="Times New Roman" w:hAnsi="Times New Roman" w:cs="Times New Roman"/>
          <w:b/>
          <w:bCs/>
          <w:lang w:val="en-US" w:eastAsia="zh-CN"/>
        </w:rPr>
        <w:t>附件2 承诺函</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eastAsia="宋体" w:cs="Times New Roman"/>
          <w:b/>
          <w:bCs/>
          <w:sz w:val="44"/>
          <w:szCs w:val="44"/>
          <w:lang w:eastAsia="zh-CN"/>
        </w:rPr>
      </w:pPr>
      <w:r>
        <w:rPr>
          <w:rFonts w:hint="default" w:ascii="Times New Roman" w:hAnsi="Times New Roman" w:eastAsia="宋体" w:cs="Times New Roman"/>
          <w:b/>
          <w:bCs/>
          <w:sz w:val="44"/>
          <w:szCs w:val="44"/>
          <w:lang w:eastAsia="zh-CN"/>
        </w:rPr>
        <w:t>合肥市工程技术学校</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bCs/>
          <w:sz w:val="44"/>
          <w:szCs w:val="44"/>
          <w:lang w:eastAsia="zh-CN"/>
        </w:rPr>
      </w:pPr>
      <w:r>
        <w:rPr>
          <w:rFonts w:hint="default" w:ascii="Times New Roman" w:hAnsi="Times New Roman" w:eastAsia="宋体" w:cs="Times New Roman"/>
          <w:b/>
          <w:bCs/>
          <w:sz w:val="44"/>
          <w:szCs w:val="44"/>
          <w:lang w:eastAsia="zh-CN"/>
        </w:rPr>
        <w:t>承诺函</w:t>
      </w:r>
    </w:p>
    <w:p>
      <w:pPr>
        <w:spacing w:line="360" w:lineRule="auto"/>
        <w:ind w:firstLine="560" w:firstLineChars="20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按照合肥市工程技术学校学生宿舍楼建设项目环境影响评价文件要求，</w:t>
      </w:r>
      <w:r>
        <w:rPr>
          <w:rFonts w:hint="eastAsia" w:ascii="Times New Roman" w:hAnsi="Times New Roman" w:eastAsia="宋体" w:cs="Times New Roman"/>
          <w:sz w:val="28"/>
          <w:szCs w:val="28"/>
          <w:lang w:val="en-US" w:eastAsia="zh-CN"/>
        </w:rPr>
        <w:t>我单位已落实了相应的环境保护设施和措施。</w:t>
      </w:r>
      <w:r>
        <w:rPr>
          <w:rFonts w:hint="default" w:ascii="Times New Roman" w:hAnsi="Times New Roman" w:eastAsia="宋体" w:cs="Times New Roman"/>
          <w:sz w:val="28"/>
          <w:szCs w:val="28"/>
        </w:rPr>
        <w:t>为积极推动</w:t>
      </w:r>
      <w:r>
        <w:rPr>
          <w:rFonts w:hint="default" w:ascii="Times New Roman" w:hAnsi="Times New Roman" w:eastAsia="宋体" w:cs="Times New Roman"/>
          <w:sz w:val="28"/>
          <w:szCs w:val="28"/>
          <w:lang w:eastAsia="zh-CN"/>
        </w:rPr>
        <w:t>工程项</w:t>
      </w:r>
      <w:r>
        <w:rPr>
          <w:rFonts w:hint="default" w:ascii="Times New Roman" w:hAnsi="Times New Roman" w:eastAsia="宋体" w:cs="Times New Roman"/>
          <w:sz w:val="28"/>
          <w:szCs w:val="28"/>
          <w:lang w:val="en-US" w:eastAsia="zh-CN"/>
        </w:rPr>
        <w:t>目</w:t>
      </w:r>
      <w:r>
        <w:rPr>
          <w:rFonts w:hint="default" w:ascii="Times New Roman" w:hAnsi="Times New Roman" w:eastAsia="宋体" w:cs="Times New Roman"/>
          <w:sz w:val="28"/>
          <w:szCs w:val="28"/>
        </w:rPr>
        <w:t>竣工环境保护验收工作，</w:t>
      </w:r>
      <w:r>
        <w:rPr>
          <w:rFonts w:hint="eastAsia" w:ascii="Times New Roman" w:hAnsi="Times New Roman" w:eastAsia="宋体" w:cs="Times New Roman"/>
          <w:sz w:val="28"/>
          <w:szCs w:val="28"/>
          <w:lang w:val="en-US" w:eastAsia="zh-CN"/>
        </w:rPr>
        <w:t>我公司（单位）</w:t>
      </w:r>
      <w:r>
        <w:rPr>
          <w:rFonts w:hint="default" w:ascii="Times New Roman" w:hAnsi="Times New Roman" w:eastAsia="宋体" w:cs="Times New Roman"/>
          <w:sz w:val="28"/>
          <w:szCs w:val="28"/>
        </w:rPr>
        <w:t>作出如下承诺</w:t>
      </w:r>
      <w:r>
        <w:rPr>
          <w:rFonts w:hint="default" w:ascii="Times New Roman" w:hAnsi="Times New Roman" w:eastAsia="宋体" w:cs="Times New Roman"/>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保证提供的全部材料真实、完整、准确；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积极配合提供开展验收现场核查和技术审查的现场条件；</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积极配合开展竣工环境保护验收工作；</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bCs/>
          <w:kern w:val="0"/>
          <w:sz w:val="28"/>
          <w:szCs w:val="28"/>
        </w:rPr>
        <w:t>接受社会公众的监督。</w:t>
      </w:r>
    </w:p>
    <w:p>
      <w:pPr>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如因我</w:t>
      </w:r>
      <w:r>
        <w:rPr>
          <w:rFonts w:hint="eastAsia" w:ascii="Times New Roman" w:hAnsi="Times New Roman" w:eastAsia="宋体" w:cs="Times New Roman"/>
          <w:sz w:val="28"/>
          <w:szCs w:val="28"/>
          <w:lang w:val="en-US" w:eastAsia="zh-CN"/>
        </w:rPr>
        <w:t>单位</w:t>
      </w:r>
      <w:r>
        <w:rPr>
          <w:rFonts w:hint="default" w:ascii="Times New Roman" w:hAnsi="Times New Roman" w:eastAsia="宋体" w:cs="Times New Roman"/>
          <w:sz w:val="28"/>
          <w:szCs w:val="28"/>
        </w:rPr>
        <w:t>弄虚作假、隐瞒事实，或者不配合竣工环境保护验收工作，影响竣工环境保护验收工作，我</w:t>
      </w:r>
      <w:r>
        <w:rPr>
          <w:rFonts w:hint="eastAsia" w:ascii="Times New Roman" w:hAnsi="Times New Roman" w:eastAsia="宋体" w:cs="Times New Roman"/>
          <w:sz w:val="28"/>
          <w:szCs w:val="28"/>
          <w:lang w:val="en-US" w:eastAsia="zh-CN"/>
        </w:rPr>
        <w:t>单位</w:t>
      </w:r>
      <w:r>
        <w:rPr>
          <w:rFonts w:hint="default" w:ascii="Times New Roman" w:hAnsi="Times New Roman" w:eastAsia="宋体" w:cs="Times New Roman"/>
          <w:sz w:val="28"/>
          <w:szCs w:val="28"/>
        </w:rPr>
        <w:t>将承担一切后果，并接受相应法律责任追究。</w:t>
      </w:r>
    </w:p>
    <w:p>
      <w:pPr>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特此承诺。</w:t>
      </w:r>
    </w:p>
    <w:p>
      <w:pPr>
        <w:spacing w:line="360" w:lineRule="auto"/>
        <w:ind w:firstLine="560" w:firstLineChars="200"/>
        <w:jc w:val="left"/>
        <w:rPr>
          <w:rFonts w:hint="default" w:ascii="Times New Roman" w:hAnsi="Times New Roman" w:eastAsia="宋体" w:cs="Times New Roman"/>
          <w:sz w:val="28"/>
          <w:szCs w:val="28"/>
        </w:rPr>
      </w:pPr>
    </w:p>
    <w:p>
      <w:pPr>
        <w:spacing w:line="360" w:lineRule="auto"/>
        <w:jc w:val="left"/>
        <w:rPr>
          <w:rFonts w:hint="default" w:ascii="Times New Roman" w:hAnsi="Times New Roman" w:eastAsia="宋体" w:cs="Times New Roman"/>
          <w:sz w:val="28"/>
          <w:szCs w:val="28"/>
        </w:rPr>
      </w:pPr>
    </w:p>
    <w:p>
      <w:pPr>
        <w:spacing w:line="360" w:lineRule="auto"/>
        <w:ind w:firstLine="560" w:firstLineChars="200"/>
        <w:jc w:val="left"/>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right="482"/>
        <w:jc w:val="right"/>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合肥市工程技术学校</w:t>
      </w:r>
    </w:p>
    <w:p>
      <w:pPr>
        <w:keepNext w:val="0"/>
        <w:keepLines w:val="0"/>
        <w:pageBreakBefore w:val="0"/>
        <w:widowControl w:val="0"/>
        <w:kinsoku/>
        <w:wordWrap/>
        <w:overflowPunct/>
        <w:topLinePunct w:val="0"/>
        <w:autoSpaceDE/>
        <w:autoSpaceDN/>
        <w:bidi w:val="0"/>
        <w:adjustRightInd/>
        <w:snapToGrid/>
        <w:spacing w:line="360" w:lineRule="auto"/>
        <w:ind w:right="482"/>
        <w:jc w:val="right"/>
        <w:textAlignment w:val="auto"/>
        <w:rPr>
          <w:rFonts w:hint="default" w:ascii="Times New Roman" w:hAnsi="Times New Roman" w:eastAsia="宋体" w:cs="Times New Roman"/>
          <w:b/>
          <w:bCs/>
          <w:sz w:val="44"/>
          <w:szCs w:val="44"/>
          <w:lang w:val="en-US" w:eastAsia="zh-CN"/>
        </w:rPr>
      </w:pPr>
      <w:r>
        <w:rPr>
          <w:rFonts w:hint="eastAsia" w:ascii="Times New Roman" w:hAnsi="Times New Roman" w:eastAsia="宋体" w:cs="Times New Roman"/>
          <w:b w:val="0"/>
          <w:bCs w:val="0"/>
          <w:sz w:val="28"/>
          <w:szCs w:val="28"/>
          <w:lang w:val="en-US" w:eastAsia="zh-CN"/>
        </w:rPr>
        <w:t>202</w:t>
      </w:r>
      <w:r>
        <w:rPr>
          <w:rFonts w:hint="eastAsia" w:cs="Times New Roman"/>
          <w:b w:val="0"/>
          <w:bCs w:val="0"/>
          <w:sz w:val="28"/>
          <w:szCs w:val="28"/>
          <w:lang w:val="en-US" w:eastAsia="zh-CN"/>
        </w:rPr>
        <w:t>4</w:t>
      </w:r>
      <w:r>
        <w:rPr>
          <w:rFonts w:hint="eastAsia" w:ascii="Times New Roman" w:hAnsi="Times New Roman" w:eastAsia="宋体" w:cs="Times New Roman"/>
          <w:b w:val="0"/>
          <w:bCs w:val="0"/>
          <w:sz w:val="28"/>
          <w:szCs w:val="28"/>
          <w:lang w:val="en-US" w:eastAsia="zh-CN"/>
        </w:rPr>
        <w:t>年</w:t>
      </w:r>
      <w:r>
        <w:rPr>
          <w:rFonts w:hint="eastAsia" w:cs="Times New Roman"/>
          <w:b w:val="0"/>
          <w:bCs w:val="0"/>
          <w:sz w:val="28"/>
          <w:szCs w:val="28"/>
          <w:lang w:val="en-US" w:eastAsia="zh-CN"/>
        </w:rPr>
        <w:t>3</w:t>
      </w:r>
      <w:r>
        <w:rPr>
          <w:rFonts w:hint="eastAsia" w:ascii="Times New Roman" w:hAnsi="Times New Roman" w:eastAsia="宋体" w:cs="Times New Roman"/>
          <w:b w:val="0"/>
          <w:bCs w:val="0"/>
          <w:sz w:val="28"/>
          <w:szCs w:val="28"/>
          <w:lang w:val="en-US" w:eastAsia="zh-CN"/>
        </w:rPr>
        <w:t>月</w:t>
      </w:r>
      <w:r>
        <w:rPr>
          <w:rFonts w:hint="eastAsia" w:cs="Times New Roman"/>
          <w:b w:val="0"/>
          <w:bCs w:val="0"/>
          <w:sz w:val="28"/>
          <w:szCs w:val="28"/>
          <w:lang w:val="en-US" w:eastAsia="zh-CN"/>
        </w:rPr>
        <w:t>15</w:t>
      </w:r>
      <w:r>
        <w:rPr>
          <w:rFonts w:hint="eastAsia" w:ascii="Times New Roman" w:hAnsi="Times New Roman" w:eastAsia="宋体" w:cs="Times New Roman"/>
          <w:b w:val="0"/>
          <w:bCs w:val="0"/>
          <w:sz w:val="28"/>
          <w:szCs w:val="28"/>
          <w:lang w:val="en-US" w:eastAsia="zh-CN"/>
        </w:rPr>
        <w:t>日</w:t>
      </w:r>
    </w:p>
    <w:p>
      <w:pPr>
        <w:rPr>
          <w:rFonts w:hint="default"/>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b/>
          <w:bCs/>
          <w:lang w:val="en-US" w:eastAsia="zh-CN"/>
        </w:rPr>
      </w:pPr>
      <w:r>
        <w:rPr>
          <w:rFonts w:hint="eastAsia"/>
          <w:b/>
          <w:bCs/>
          <w:lang w:val="en-US" w:eastAsia="zh-CN"/>
        </w:rPr>
        <w:t>附件3 立项批复</w:t>
      </w:r>
    </w:p>
    <w:p>
      <w:pPr>
        <w:pStyle w:val="4"/>
        <w:ind w:left="0" w:leftChars="0" w:firstLine="0" w:firstLineChars="0"/>
        <w:jc w:val="center"/>
        <w:rPr>
          <w:rFonts w:hint="default"/>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drawing>
          <wp:inline distT="0" distB="0" distL="114300" distR="114300">
            <wp:extent cx="5524500" cy="7867650"/>
            <wp:effectExtent l="0" t="0" r="0" b="0"/>
            <wp:docPr id="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
                    <pic:cNvPicPr>
                      <a:picLocks noChangeAspect="1"/>
                    </pic:cNvPicPr>
                  </pic:nvPicPr>
                  <pic:blipFill>
                    <a:blip r:embed="rId42"/>
                    <a:stretch>
                      <a:fillRect/>
                    </a:stretch>
                  </pic:blipFill>
                  <pic:spPr>
                    <a:xfrm>
                      <a:off x="0" y="0"/>
                      <a:ext cx="5524500" cy="7867650"/>
                    </a:xfrm>
                    <a:prstGeom prst="rect">
                      <a:avLst/>
                    </a:prstGeom>
                    <a:noFill/>
                    <a:ln>
                      <a:noFill/>
                    </a:ln>
                  </pic:spPr>
                </pic:pic>
              </a:graphicData>
            </a:graphic>
          </wp:inline>
        </w:drawing>
      </w:r>
      <w:r>
        <w:drawing>
          <wp:inline distT="0" distB="0" distL="114300" distR="114300">
            <wp:extent cx="5524500" cy="7858125"/>
            <wp:effectExtent l="0" t="0" r="0" b="9525"/>
            <wp:docPr id="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
                    <pic:cNvPicPr>
                      <a:picLocks noChangeAspect="1"/>
                    </pic:cNvPicPr>
                  </pic:nvPicPr>
                  <pic:blipFill>
                    <a:blip r:embed="rId43"/>
                    <a:stretch>
                      <a:fillRect/>
                    </a:stretch>
                  </pic:blipFill>
                  <pic:spPr>
                    <a:xfrm>
                      <a:off x="0" y="0"/>
                      <a:ext cx="5524500" cy="7858125"/>
                    </a:xfrm>
                    <a:prstGeom prst="rect">
                      <a:avLst/>
                    </a:prstGeom>
                    <a:noFill/>
                    <a:ln>
                      <a:noFill/>
                    </a:ln>
                  </pic:spPr>
                </pic:pic>
              </a:graphicData>
            </a:graphic>
          </wp:inline>
        </w:drawing>
      </w:r>
    </w:p>
    <w:p>
      <w:pPr>
        <w:pStyle w:val="23"/>
        <w:keepNext w:val="0"/>
        <w:keepLines w:val="0"/>
        <w:pageBreakBefore w:val="0"/>
        <w:widowControl w:val="0"/>
        <w:kinsoku/>
        <w:wordWrap/>
        <w:overflowPunct w:val="0"/>
        <w:topLinePunct w:val="0"/>
        <w:autoSpaceDE/>
        <w:autoSpaceDN/>
        <w:bidi w:val="0"/>
        <w:adjustRightInd/>
        <w:snapToGrid w:val="0"/>
        <w:ind w:firstLine="0" w:firstLineChars="0"/>
        <w:textAlignment w:val="auto"/>
        <w:outlineLvl w:val="0"/>
        <w:rPr>
          <w:rFonts w:hint="default" w:ascii="Times New Roman" w:hAnsi="Times New Roman" w:cs="Times New Roman"/>
          <w:b/>
          <w:bCs/>
          <w:lang w:val="en-US" w:eastAsia="zh-CN"/>
        </w:rPr>
      </w:pPr>
      <w:r>
        <w:rPr>
          <w:rFonts w:hint="default" w:ascii="Times New Roman" w:hAnsi="Times New Roman" w:cs="Times New Roman"/>
          <w:b/>
          <w:bCs/>
          <w:lang w:val="en-US" w:eastAsia="zh-CN"/>
        </w:rPr>
        <w:t>附件</w:t>
      </w:r>
      <w:r>
        <w:rPr>
          <w:rFonts w:hint="eastAsia" w:ascii="Times New Roman" w:hAnsi="Times New Roman" w:cs="Times New Roman"/>
          <w:b/>
          <w:bCs/>
          <w:lang w:val="en-US" w:eastAsia="zh-CN"/>
        </w:rPr>
        <w:t>4</w:t>
      </w:r>
      <w:r>
        <w:rPr>
          <w:rFonts w:hint="default" w:ascii="Times New Roman" w:hAnsi="Times New Roman" w:cs="Times New Roman"/>
          <w:b/>
          <w:bCs/>
          <w:lang w:val="en-US" w:eastAsia="zh-CN"/>
        </w:rPr>
        <w:t xml:space="preserve"> 初步设计的批复</w:t>
      </w:r>
    </w:p>
    <w:p>
      <w:pPr>
        <w:ind w:left="0" w:leftChars="0" w:firstLine="0" w:firstLineChars="0"/>
        <w:jc w:val="center"/>
        <w:rPr>
          <w:rFonts w:hint="default"/>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drawing>
          <wp:inline distT="0" distB="0" distL="114300" distR="114300">
            <wp:extent cx="5579745" cy="7663180"/>
            <wp:effectExtent l="0" t="0" r="1905" b="139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4"/>
                    <a:stretch>
                      <a:fillRect/>
                    </a:stretch>
                  </pic:blipFill>
                  <pic:spPr>
                    <a:xfrm>
                      <a:off x="0" y="0"/>
                      <a:ext cx="5579745" cy="7663180"/>
                    </a:xfrm>
                    <a:prstGeom prst="rect">
                      <a:avLst/>
                    </a:prstGeom>
                    <a:noFill/>
                    <a:ln>
                      <a:noFill/>
                    </a:ln>
                  </pic:spPr>
                </pic:pic>
              </a:graphicData>
            </a:graphic>
          </wp:inline>
        </w:drawing>
      </w:r>
      <w:r>
        <w:drawing>
          <wp:inline distT="0" distB="0" distL="114300" distR="114300">
            <wp:extent cx="5575935" cy="7686675"/>
            <wp:effectExtent l="0" t="0" r="5715" b="952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45"/>
                    <a:stretch>
                      <a:fillRect/>
                    </a:stretch>
                  </pic:blipFill>
                  <pic:spPr>
                    <a:xfrm>
                      <a:off x="0" y="0"/>
                      <a:ext cx="5575935" cy="76866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附件5 建设组成一览表</w:t>
      </w:r>
    </w:p>
    <w:p>
      <w:pPr>
        <w:ind w:left="0" w:leftChars="0" w:firstLine="0" w:firstLineChars="0"/>
        <w:jc w:val="center"/>
        <w:outlineLvl w:val="0"/>
        <w:rPr>
          <w:rFonts w:hint="eastAsia"/>
          <w:b/>
          <w:bCs/>
          <w:color w:val="auto"/>
          <w:sz w:val="21"/>
          <w:szCs w:val="21"/>
          <w:highlight w:val="none"/>
          <w:lang w:val="en-US" w:eastAsia="zh-CN"/>
        </w:rPr>
      </w:pPr>
      <w:r>
        <w:rPr>
          <w:rFonts w:hint="default" w:ascii="Times New Roman" w:hAnsi="Times New Roman" w:eastAsia="宋体" w:cs="Times New Roman"/>
          <w:b/>
          <w:bCs/>
          <w:color w:val="auto"/>
          <w:sz w:val="30"/>
          <w:szCs w:val="30"/>
          <w:lang w:val="en-US" w:eastAsia="zh-CN"/>
        </w:rPr>
        <w:t>合肥市工程技术学校学生宿舍楼建设项目建设组成一览表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559"/>
        <w:gridCol w:w="6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工程类别</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工程名称</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主体工程</w:t>
            </w:r>
          </w:p>
        </w:tc>
        <w:tc>
          <w:tcPr>
            <w:tcW w:w="1559" w:type="dxa"/>
            <w:noWrap w:val="0"/>
            <w:vAlign w:val="center"/>
          </w:tcPr>
          <w:p>
            <w:pPr>
              <w:pStyle w:val="1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eastAsia" w:ascii="Times New Roman" w:hAnsi="Times New Roman" w:cs="Times New Roman"/>
                <w:b w:val="0"/>
                <w:color w:val="auto"/>
                <w:sz w:val="21"/>
                <w:szCs w:val="21"/>
                <w:lang w:val="en-US" w:eastAsia="zh-CN"/>
              </w:rPr>
              <w:t>宿舍楼</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设置一栋C字型宿舍楼，设置于校区东北部</w:t>
            </w:r>
            <w:r>
              <w:rPr>
                <w:rFonts w:hint="default" w:ascii="Times New Roman" w:hAnsi="Times New Roman" w:cs="Times New Roman"/>
                <w:b w:val="0"/>
                <w:color w:val="auto"/>
                <w:sz w:val="21"/>
                <w:szCs w:val="21"/>
                <w:highlight w:val="none"/>
                <w:lang w:val="en-US" w:eastAsia="zh-CN"/>
              </w:rPr>
              <w:t>，总建筑面积</w:t>
            </w:r>
            <w:r>
              <w:rPr>
                <w:rFonts w:hint="eastAsia" w:cs="Times New Roman"/>
                <w:sz w:val="21"/>
                <w:szCs w:val="21"/>
                <w:highlight w:val="none"/>
                <w:lang w:val="en-US" w:eastAsia="zh-CN"/>
              </w:rPr>
              <w:t>11840</w:t>
            </w:r>
            <w:r>
              <w:rPr>
                <w:rFonts w:hint="default" w:ascii="Times New Roman" w:hAnsi="Times New Roman" w:cs="Times New Roman"/>
                <w:sz w:val="21"/>
                <w:szCs w:val="21"/>
                <w:highlight w:val="none"/>
                <w:lang w:val="en-US" w:eastAsia="zh-CN"/>
              </w:rPr>
              <w:t>平方米</w:t>
            </w:r>
            <w:r>
              <w:rPr>
                <w:rFonts w:hint="eastAsia" w:cs="Times New Roman"/>
                <w:sz w:val="21"/>
                <w:szCs w:val="21"/>
                <w:highlight w:val="none"/>
                <w:lang w:val="en-US" w:eastAsia="zh-CN"/>
              </w:rPr>
              <w:t>，其中地上建筑面积9390平方米，地下建筑面积2450平方米；为地上6层（北侧为4层、南侧为6层），地下1层的C字型宿舍楼。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辅助工程</w:t>
            </w:r>
          </w:p>
        </w:tc>
        <w:tc>
          <w:tcPr>
            <w:tcW w:w="1559" w:type="dxa"/>
            <w:noWrap w:val="0"/>
            <w:vAlign w:val="center"/>
          </w:tcPr>
          <w:p>
            <w:pPr>
              <w:pStyle w:val="1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配电房</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项目在地下室设置一座10KV配电房，变电所内设1台1250kVA变电器+1台400kVA变电器</w:t>
            </w:r>
            <w:r>
              <w:rPr>
                <w:rFonts w:hint="default" w:ascii="Times New Roman" w:hAnsi="Times New Roman" w:cs="Times New Roman"/>
                <w:b w:val="0"/>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泵房</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分别设置生活泵房和消防泵房</w:t>
            </w:r>
            <w:r>
              <w:rPr>
                <w:rFonts w:hint="default" w:ascii="Times New Roman" w:hAnsi="Times New Roman" w:cs="Times New Roman"/>
                <w:b w:val="0"/>
                <w:color w:val="auto"/>
                <w:sz w:val="21"/>
                <w:szCs w:val="21"/>
                <w:highlight w:val="none"/>
                <w:lang w:val="en-US" w:eastAsia="zh-CN"/>
              </w:rPr>
              <w:t>，总建筑面积</w:t>
            </w:r>
            <w:r>
              <w:rPr>
                <w:rFonts w:hint="eastAsia" w:cs="Times New Roman"/>
                <w:b w:val="0"/>
                <w:color w:val="auto"/>
                <w:sz w:val="21"/>
                <w:szCs w:val="21"/>
                <w:highlight w:val="none"/>
                <w:lang w:val="en-US" w:eastAsia="zh-CN"/>
              </w:rPr>
              <w:t>170</w:t>
            </w:r>
            <w:r>
              <w:rPr>
                <w:rFonts w:hint="default" w:ascii="Times New Roman" w:hAnsi="Times New Roman" w:cs="Times New Roman"/>
                <w:b w:val="0"/>
                <w:color w:val="auto"/>
                <w:sz w:val="21"/>
                <w:szCs w:val="21"/>
                <w:highlight w:val="none"/>
                <w:lang w:val="en-US" w:eastAsia="zh-CN"/>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公用工程</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供水</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由市政给水管网提供自来水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排水</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项目室内设污、废水合流制，室外设雨、污水分流制，室内污废水采用重力流排出，地下室设置集水坑及专用排污泵排水，生活污水经化粪池处理后，排入校区体育馆附近污水井。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消防系统</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严格遵守国家相关防火设计规范，并设置消防水池、消防栓、室内消防设施等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r>
              <w:rPr>
                <w:rFonts w:hint="default" w:ascii="Times New Roman" w:hAnsi="Times New Roman" w:eastAsia="宋体" w:cs="Times New Roman"/>
                <w:sz w:val="21"/>
                <w:szCs w:val="21"/>
                <w:lang w:val="zh-CN"/>
              </w:rPr>
              <w:t>供冷、供暖系统</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项目供冷、供暖均采用自建空调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供电</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由市政供电电网提供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停车设施</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cs="Times New Roman"/>
                <w:b w:val="0"/>
                <w:color w:val="auto"/>
                <w:sz w:val="21"/>
                <w:szCs w:val="21"/>
                <w:highlight w:val="none"/>
                <w:lang w:val="en-US" w:eastAsia="zh-CN"/>
              </w:rPr>
              <w:t>共设置</w:t>
            </w:r>
            <w:r>
              <w:rPr>
                <w:rFonts w:hint="eastAsia" w:cs="Times New Roman"/>
                <w:b w:val="0"/>
                <w:color w:val="auto"/>
                <w:sz w:val="21"/>
                <w:szCs w:val="21"/>
                <w:highlight w:val="none"/>
                <w:lang w:val="en-US" w:eastAsia="zh-CN"/>
              </w:rPr>
              <w:t>地下</w:t>
            </w:r>
            <w:r>
              <w:rPr>
                <w:rFonts w:hint="default" w:ascii="Times New Roman" w:hAnsi="Times New Roman" w:cs="Times New Roman"/>
                <w:b w:val="0"/>
                <w:color w:val="auto"/>
                <w:sz w:val="21"/>
                <w:szCs w:val="21"/>
                <w:highlight w:val="none"/>
                <w:lang w:val="en-US" w:eastAsia="zh-CN"/>
              </w:rPr>
              <w:t>机动车停车位</w:t>
            </w:r>
            <w:r>
              <w:rPr>
                <w:rFonts w:hint="eastAsia" w:cs="Times New Roman"/>
                <w:b w:val="0"/>
                <w:color w:val="auto"/>
                <w:sz w:val="21"/>
                <w:szCs w:val="21"/>
                <w:highlight w:val="none"/>
                <w:lang w:val="en-US" w:eastAsia="zh-CN"/>
              </w:rPr>
              <w:t>63</w:t>
            </w:r>
            <w:r>
              <w:rPr>
                <w:rFonts w:hint="default" w:ascii="Times New Roman" w:hAnsi="Times New Roman" w:cs="Times New Roman"/>
                <w:b w:val="0"/>
                <w:color w:val="auto"/>
                <w:sz w:val="21"/>
                <w:szCs w:val="21"/>
                <w:highlight w:val="none"/>
                <w:lang w:val="en-US" w:eastAsia="zh-CN"/>
              </w:rPr>
              <w:t>个，非机动车停车位</w:t>
            </w:r>
            <w:r>
              <w:rPr>
                <w:rFonts w:hint="eastAsia" w:cs="Times New Roman"/>
                <w:b w:val="0"/>
                <w:color w:val="auto"/>
                <w:sz w:val="21"/>
                <w:szCs w:val="21"/>
                <w:highlight w:val="none"/>
                <w:lang w:val="en-US" w:eastAsia="zh-CN"/>
              </w:rPr>
              <w:t>450个</w:t>
            </w:r>
            <w:r>
              <w:rPr>
                <w:rFonts w:hint="default" w:ascii="Times New Roman" w:hAnsi="Times New Roman" w:cs="Times New Roman"/>
                <w:b w:val="0"/>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环保工程</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废气</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仅为地下车库汽车尾气，设置排气设备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废水</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建设化粪池以及配套污水收集管网等。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噪声</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沿地块边线设置绿化带；水泵房置于地下，并对各类水泵采取底座减震；配电房设在</w:t>
            </w:r>
            <w:r>
              <w:rPr>
                <w:rFonts w:hint="eastAsia" w:cs="Times New Roman"/>
                <w:b w:val="0"/>
                <w:color w:val="auto"/>
                <w:sz w:val="21"/>
                <w:szCs w:val="21"/>
                <w:highlight w:val="none"/>
                <w:lang w:val="en-US" w:eastAsia="zh-CN"/>
              </w:rPr>
              <w:t>地下</w:t>
            </w:r>
            <w:r>
              <w:rPr>
                <w:rFonts w:hint="default" w:ascii="Times New Roman" w:hAnsi="Times New Roman" w:eastAsia="宋体" w:cs="Times New Roman"/>
                <w:b w:val="0"/>
                <w:color w:val="auto"/>
                <w:sz w:val="21"/>
                <w:szCs w:val="21"/>
                <w:highlight w:val="none"/>
              </w:rPr>
              <w:t>专用</w:t>
            </w:r>
            <w:r>
              <w:rPr>
                <w:rFonts w:hint="eastAsia" w:cs="Times New Roman"/>
                <w:b w:val="0"/>
                <w:color w:val="auto"/>
                <w:sz w:val="21"/>
                <w:szCs w:val="21"/>
                <w:highlight w:val="none"/>
                <w:lang w:val="en-US" w:eastAsia="zh-CN"/>
              </w:rPr>
              <w:t>配电</w:t>
            </w:r>
            <w:r>
              <w:rPr>
                <w:rFonts w:hint="default" w:ascii="Times New Roman" w:hAnsi="Times New Roman" w:eastAsia="宋体" w:cs="Times New Roman"/>
                <w:b w:val="0"/>
                <w:color w:val="auto"/>
                <w:sz w:val="21"/>
                <w:szCs w:val="21"/>
                <w:highlight w:val="none"/>
              </w:rPr>
              <w:t>房中，并安装隔声屏障；窗户安装双层中空玻璃。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固废</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vertAlign w:val="baseline"/>
                <w:lang w:val="en-US"/>
              </w:rPr>
            </w:pPr>
            <w:r>
              <w:rPr>
                <w:rFonts w:hint="default" w:ascii="Times New Roman" w:hAnsi="Times New Roman" w:eastAsia="宋体" w:cs="Times New Roman"/>
                <w:b w:val="0"/>
                <w:color w:val="auto"/>
                <w:sz w:val="21"/>
                <w:szCs w:val="21"/>
                <w:highlight w:val="none"/>
                <w:vertAlign w:val="baseline"/>
                <w:lang w:val="en-US"/>
              </w:rPr>
              <w:t>生活垃圾由环卫部门处理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color w:val="auto"/>
                <w:sz w:val="21"/>
                <w:szCs w:val="21"/>
                <w:lang w:val="en-US" w:eastAsia="zh-CN"/>
              </w:rPr>
            </w:pPr>
            <w:r>
              <w:rPr>
                <w:rFonts w:hint="default" w:ascii="Times New Roman" w:hAnsi="Times New Roman" w:cs="Times New Roman"/>
                <w:b w:val="0"/>
                <w:color w:val="auto"/>
                <w:sz w:val="21"/>
                <w:szCs w:val="21"/>
                <w:lang w:val="en-US" w:eastAsia="zh-CN"/>
              </w:rPr>
              <w:t>生态保护</w:t>
            </w:r>
          </w:p>
        </w:tc>
        <w:tc>
          <w:tcPr>
            <w:tcW w:w="6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color w:val="auto"/>
                <w:sz w:val="21"/>
                <w:szCs w:val="21"/>
                <w:highlight w:val="none"/>
                <w:vertAlign w:val="baseline"/>
                <w:lang w:val="en-US"/>
              </w:rPr>
            </w:pPr>
            <w:r>
              <w:rPr>
                <w:rFonts w:hint="default" w:ascii="Times New Roman" w:hAnsi="Times New Roman" w:eastAsia="宋体" w:cs="Times New Roman"/>
                <w:b w:val="0"/>
                <w:color w:val="auto"/>
                <w:sz w:val="21"/>
                <w:szCs w:val="21"/>
                <w:highlight w:val="none"/>
                <w:vertAlign w:val="baseline"/>
                <w:lang w:val="en-US"/>
              </w:rPr>
              <w:t>绿地建设，景观改善等，项目</w:t>
            </w:r>
            <w:r>
              <w:rPr>
                <w:rFonts w:hint="eastAsia" w:cs="Times New Roman"/>
                <w:b w:val="0"/>
                <w:color w:val="auto"/>
                <w:sz w:val="21"/>
                <w:szCs w:val="21"/>
                <w:highlight w:val="none"/>
                <w:vertAlign w:val="baseline"/>
                <w:lang w:val="en-US" w:eastAsia="zh-CN"/>
              </w:rPr>
              <w:t>绿化面积约为1187平方米</w:t>
            </w:r>
            <w:r>
              <w:rPr>
                <w:rFonts w:hint="default" w:ascii="Times New Roman" w:hAnsi="Times New Roman" w:eastAsia="宋体" w:cs="Times New Roman"/>
                <w:b w:val="0"/>
                <w:color w:val="auto"/>
                <w:sz w:val="21"/>
                <w:szCs w:val="21"/>
                <w:highlight w:val="none"/>
                <w:vertAlign w:val="baseline"/>
                <w:lang w:val="en-US"/>
              </w:rPr>
              <w:t>。</w:t>
            </w:r>
          </w:p>
        </w:tc>
      </w:tr>
    </w:tbl>
    <w:p>
      <w:pPr>
        <w:keepNext w:val="0"/>
        <w:keepLines w:val="0"/>
        <w:pageBreakBefore w:val="0"/>
        <w:widowControl w:val="0"/>
        <w:kinsoku/>
        <w:wordWrap/>
        <w:overflowPunct/>
        <w:topLinePunct w:val="0"/>
        <w:autoSpaceDE/>
        <w:autoSpaceDN/>
        <w:bidi w:val="0"/>
        <w:adjustRightInd/>
        <w:snapToGrid/>
        <w:spacing w:line="360" w:lineRule="auto"/>
        <w:ind w:right="482"/>
        <w:jc w:val="right"/>
        <w:textAlignment w:val="auto"/>
        <w:rPr>
          <w:rFonts w:hint="default" w:ascii="Times New Roman" w:hAnsi="Times New Roman" w:eastAsia="宋体" w:cs="Times New Roman"/>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right="0"/>
        <w:jc w:val="right"/>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合肥市工程技术学校</w:t>
      </w:r>
    </w:p>
    <w:p>
      <w:pPr>
        <w:keepNext w:val="0"/>
        <w:keepLines w:val="0"/>
        <w:pageBreakBefore w:val="0"/>
        <w:widowControl w:val="0"/>
        <w:kinsoku/>
        <w:wordWrap/>
        <w:overflowPunct/>
        <w:topLinePunct w:val="0"/>
        <w:autoSpaceDE/>
        <w:autoSpaceDN/>
        <w:bidi w:val="0"/>
        <w:adjustRightInd/>
        <w:snapToGrid/>
        <w:spacing w:line="360" w:lineRule="auto"/>
        <w:ind w:right="0"/>
        <w:jc w:val="right"/>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b w:val="0"/>
          <w:bCs w:val="0"/>
          <w:sz w:val="28"/>
          <w:szCs w:val="28"/>
          <w:lang w:val="en-US" w:eastAsia="zh-CN"/>
        </w:rPr>
        <w:t>202</w:t>
      </w:r>
      <w:r>
        <w:rPr>
          <w:rFonts w:hint="eastAsia" w:cs="Times New Roman"/>
          <w:b w:val="0"/>
          <w:bCs w:val="0"/>
          <w:sz w:val="28"/>
          <w:szCs w:val="28"/>
          <w:lang w:val="en-US" w:eastAsia="zh-CN"/>
        </w:rPr>
        <w:t>4</w:t>
      </w:r>
      <w:r>
        <w:rPr>
          <w:rFonts w:hint="default" w:ascii="Times New Roman" w:hAnsi="Times New Roman" w:eastAsia="宋体" w:cs="Times New Roman"/>
          <w:b w:val="0"/>
          <w:bCs w:val="0"/>
          <w:sz w:val="28"/>
          <w:szCs w:val="28"/>
          <w:lang w:val="en-US" w:eastAsia="zh-CN"/>
        </w:rPr>
        <w:t>年</w:t>
      </w:r>
      <w:r>
        <w:rPr>
          <w:rFonts w:hint="eastAsia" w:cs="Times New Roman"/>
          <w:b w:val="0"/>
          <w:bCs w:val="0"/>
          <w:sz w:val="28"/>
          <w:szCs w:val="28"/>
          <w:lang w:val="en-US" w:eastAsia="zh-CN"/>
        </w:rPr>
        <w:t>3</w:t>
      </w:r>
      <w:r>
        <w:rPr>
          <w:rFonts w:hint="default" w:ascii="Times New Roman" w:hAnsi="Times New Roman" w:eastAsia="宋体" w:cs="Times New Roman"/>
          <w:b w:val="0"/>
          <w:bCs w:val="0"/>
          <w:sz w:val="28"/>
          <w:szCs w:val="28"/>
          <w:lang w:val="en-US" w:eastAsia="zh-CN"/>
        </w:rPr>
        <w:t>月</w:t>
      </w:r>
      <w:r>
        <w:rPr>
          <w:rFonts w:hint="eastAsia" w:cs="Times New Roman"/>
          <w:b w:val="0"/>
          <w:bCs w:val="0"/>
          <w:sz w:val="28"/>
          <w:szCs w:val="28"/>
          <w:lang w:val="en-US" w:eastAsia="zh-CN"/>
        </w:rPr>
        <w:t>15</w:t>
      </w:r>
      <w:r>
        <w:rPr>
          <w:rFonts w:hint="default" w:ascii="Times New Roman" w:hAnsi="Times New Roman" w:eastAsia="宋体" w:cs="Times New Roman"/>
          <w:b w:val="0"/>
          <w:bCs w:val="0"/>
          <w:sz w:val="28"/>
          <w:szCs w:val="28"/>
          <w:lang w:val="en-US" w:eastAsia="zh-CN"/>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30"/>
          <w:szCs w:val="30"/>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outlineLvl w:val="0"/>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附件6 主要经济技术指标一览表</w:t>
      </w:r>
    </w:p>
    <w:p>
      <w:pPr>
        <w:bidi w:val="0"/>
        <w:jc w:val="center"/>
        <w:rPr>
          <w:rFonts w:hint="default"/>
          <w:b/>
          <w:bCs/>
          <w:sz w:val="30"/>
          <w:szCs w:val="30"/>
          <w:lang w:val="en-US" w:eastAsia="zh-CN"/>
        </w:rPr>
      </w:pPr>
      <w:r>
        <w:rPr>
          <w:rFonts w:hint="default"/>
          <w:b/>
          <w:bCs/>
          <w:sz w:val="30"/>
          <w:szCs w:val="30"/>
          <w:lang w:val="en-US" w:eastAsia="zh-CN"/>
        </w:rPr>
        <w:t>合肥市工程技术学校学生宿舍楼建设项目</w:t>
      </w:r>
    </w:p>
    <w:p>
      <w:pPr>
        <w:bidi w:val="0"/>
        <w:jc w:val="center"/>
        <w:rPr>
          <w:rFonts w:hint="default"/>
          <w:b/>
          <w:bCs/>
          <w:sz w:val="30"/>
          <w:szCs w:val="30"/>
          <w:lang w:val="en-US" w:eastAsia="zh-CN"/>
        </w:rPr>
      </w:pPr>
      <w:r>
        <w:rPr>
          <w:rFonts w:hint="default"/>
          <w:b/>
          <w:bCs/>
          <w:sz w:val="30"/>
          <w:szCs w:val="30"/>
          <w:lang w:val="en-US" w:eastAsia="zh-CN"/>
        </w:rPr>
        <w:t>主要经济技术指标一览表</w:t>
      </w:r>
    </w:p>
    <w:tbl>
      <w:tblPr>
        <w:tblStyle w:val="13"/>
        <w:tblW w:w="51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3859"/>
        <w:gridCol w:w="3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40" w:type="pct"/>
            <w:gridSpan w:val="2"/>
            <w:noWrap w:val="0"/>
            <w:vAlign w:val="center"/>
          </w:tcPr>
          <w:p>
            <w:pPr>
              <w:pStyle w:val="21"/>
              <w:widowControl w:val="0"/>
              <w:bidi w:val="0"/>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eastAsia="zh-CN"/>
              </w:rPr>
              <w:t>名称</w:t>
            </w:r>
          </w:p>
        </w:tc>
        <w:tc>
          <w:tcPr>
            <w:tcW w:w="2259" w:type="pct"/>
            <w:noWrap w:val="0"/>
            <w:vAlign w:val="center"/>
          </w:tcPr>
          <w:p>
            <w:pPr>
              <w:pStyle w:val="21"/>
              <w:widowControl w:val="0"/>
              <w:bidi w:val="0"/>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eastAsia"/>
                <w:b w:val="0"/>
                <w:bCs w:val="0"/>
                <w:color w:val="auto"/>
                <w:lang w:val="en-US" w:eastAsia="zh-CN"/>
              </w:rPr>
            </w:pPr>
            <w:r>
              <w:rPr>
                <w:rFonts w:hint="eastAsia"/>
                <w:b w:val="0"/>
                <w:bCs w:val="0"/>
                <w:color w:val="auto"/>
                <w:lang w:val="en-US" w:eastAsia="zh-CN"/>
              </w:rPr>
              <w:t>总用地面积</w:t>
            </w: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88574平方米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总建筑面积</w:t>
            </w: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53479</w:t>
            </w:r>
            <w:r>
              <w:rPr>
                <w:rFonts w:hint="default"/>
                <w:color w:val="auto"/>
                <w:lang w:val="en-US" w:eastAsia="zh-CN"/>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计容总建筑面积</w:t>
            </w: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50829</w:t>
            </w:r>
            <w:r>
              <w:rPr>
                <w:rFonts w:hint="default"/>
                <w:color w:val="auto"/>
                <w:lang w:val="en-US" w:eastAsia="zh-CN"/>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现状</w:t>
            </w:r>
          </w:p>
        </w:tc>
        <w:tc>
          <w:tcPr>
            <w:tcW w:w="2181"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现状已建建筑</w:t>
            </w:r>
          </w:p>
        </w:tc>
        <w:tc>
          <w:tcPr>
            <w:tcW w:w="2259" w:type="pct"/>
            <w:noWrap w:val="0"/>
            <w:vAlign w:val="center"/>
          </w:tcPr>
          <w:p>
            <w:pPr>
              <w:pStyle w:val="21"/>
              <w:widowControl w:val="0"/>
              <w:bidi w:val="0"/>
              <w:rPr>
                <w:rFonts w:hint="default"/>
                <w:color w:val="auto"/>
                <w:lang w:val="en-US" w:eastAsia="zh-CN"/>
              </w:rPr>
            </w:pPr>
            <w:r>
              <w:rPr>
                <w:rFonts w:hint="eastAsia" w:cs="Times New Roman"/>
                <w:b w:val="0"/>
                <w:color w:val="auto"/>
                <w:sz w:val="21"/>
                <w:szCs w:val="21"/>
                <w:highlight w:val="none"/>
                <w:lang w:val="en-US" w:eastAsia="zh-CN"/>
              </w:rPr>
              <w:t>41629平方米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新建</w:t>
            </w:r>
          </w:p>
        </w:tc>
        <w:tc>
          <w:tcPr>
            <w:tcW w:w="2181"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4#宿舍楼</w:t>
            </w:r>
          </w:p>
        </w:tc>
        <w:tc>
          <w:tcPr>
            <w:tcW w:w="2259" w:type="pct"/>
            <w:noWrap w:val="0"/>
            <w:vAlign w:val="center"/>
          </w:tcPr>
          <w:p>
            <w:pPr>
              <w:pStyle w:val="21"/>
              <w:widowControl w:val="0"/>
              <w:bidi w:val="0"/>
              <w:rPr>
                <w:rFonts w:hint="default"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9390平方米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新建地下建筑面积</w:t>
            </w:r>
          </w:p>
        </w:tc>
        <w:tc>
          <w:tcPr>
            <w:tcW w:w="2259" w:type="pct"/>
            <w:noWrap w:val="0"/>
            <w:vAlign w:val="center"/>
          </w:tcPr>
          <w:p>
            <w:pPr>
              <w:pStyle w:val="21"/>
              <w:widowControl w:val="0"/>
              <w:bidi w:val="0"/>
              <w:rPr>
                <w:rFonts w:hint="default"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2450平方米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新建</w:t>
            </w:r>
          </w:p>
        </w:tc>
        <w:tc>
          <w:tcPr>
            <w:tcW w:w="2181"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4#宿舍楼地下车库</w:t>
            </w:r>
          </w:p>
        </w:tc>
        <w:tc>
          <w:tcPr>
            <w:tcW w:w="2259" w:type="pct"/>
            <w:noWrap w:val="0"/>
            <w:vAlign w:val="center"/>
          </w:tcPr>
          <w:p>
            <w:pPr>
              <w:pStyle w:val="21"/>
              <w:widowControl w:val="0"/>
              <w:bidi w:val="0"/>
              <w:rPr>
                <w:rFonts w:hint="default"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2450平方米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eastAsia"/>
                <w:b w:val="0"/>
                <w:bCs w:val="0"/>
                <w:color w:val="auto"/>
                <w:lang w:val="en-US" w:eastAsia="zh-CN"/>
              </w:rPr>
            </w:pPr>
            <w:r>
              <w:rPr>
                <w:rFonts w:hint="eastAsia"/>
                <w:b w:val="0"/>
                <w:bCs w:val="0"/>
                <w:color w:val="auto"/>
                <w:lang w:val="en-US" w:eastAsia="zh-CN"/>
              </w:rPr>
              <w:t>新建</w:t>
            </w:r>
          </w:p>
        </w:tc>
        <w:tc>
          <w:tcPr>
            <w:tcW w:w="2181" w:type="pct"/>
            <w:noWrap w:val="0"/>
            <w:vAlign w:val="center"/>
          </w:tcPr>
          <w:p>
            <w:pPr>
              <w:pStyle w:val="21"/>
              <w:widowControl w:val="0"/>
              <w:bidi w:val="0"/>
              <w:rPr>
                <w:rFonts w:hint="eastAsia"/>
                <w:b w:val="0"/>
                <w:bCs w:val="0"/>
                <w:color w:val="auto"/>
                <w:lang w:val="en-US" w:eastAsia="zh-CN"/>
              </w:rPr>
            </w:pPr>
            <w:r>
              <w:rPr>
                <w:rFonts w:hint="eastAsia"/>
                <w:b w:val="0"/>
                <w:bCs w:val="0"/>
                <w:color w:val="auto"/>
                <w:lang w:val="en-US" w:eastAsia="zh-CN"/>
              </w:rPr>
              <w:t>配电房</w:t>
            </w:r>
          </w:p>
        </w:tc>
        <w:tc>
          <w:tcPr>
            <w:tcW w:w="2259" w:type="pct"/>
            <w:noWrap w:val="0"/>
            <w:vAlign w:val="center"/>
          </w:tcPr>
          <w:p>
            <w:pPr>
              <w:pStyle w:val="21"/>
              <w:widowControl w:val="0"/>
              <w:bidi w:val="0"/>
              <w:rPr>
                <w:rFonts w:hint="default"/>
                <w:color w:val="auto"/>
                <w:lang w:val="en-US" w:eastAsia="zh-CN"/>
              </w:rPr>
            </w:pPr>
            <w:r>
              <w:rPr>
                <w:rFonts w:hint="eastAsia" w:cs="Times New Roman"/>
                <w:b w:val="0"/>
                <w:color w:val="auto"/>
                <w:sz w:val="21"/>
                <w:szCs w:val="21"/>
                <w:highlight w:val="none"/>
                <w:lang w:val="en-US" w:eastAsia="zh-CN"/>
              </w:rPr>
              <w:t>102平方米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9" w:type="pct"/>
            <w:noWrap w:val="0"/>
            <w:vAlign w:val="center"/>
          </w:tcPr>
          <w:p>
            <w:pPr>
              <w:pStyle w:val="21"/>
              <w:widowControl w:val="0"/>
              <w:bidi w:val="0"/>
              <w:rPr>
                <w:rFonts w:hint="eastAsia"/>
                <w:b w:val="0"/>
                <w:bCs w:val="0"/>
                <w:color w:val="auto"/>
                <w:lang w:val="en-US" w:eastAsia="zh-CN"/>
              </w:rPr>
            </w:pPr>
            <w:r>
              <w:rPr>
                <w:rFonts w:hint="eastAsia"/>
                <w:b w:val="0"/>
                <w:bCs w:val="0"/>
                <w:color w:val="auto"/>
                <w:lang w:val="en-US" w:eastAsia="zh-CN"/>
              </w:rPr>
              <w:t>新建</w:t>
            </w:r>
          </w:p>
        </w:tc>
        <w:tc>
          <w:tcPr>
            <w:tcW w:w="2181"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泵房</w:t>
            </w:r>
          </w:p>
        </w:tc>
        <w:tc>
          <w:tcPr>
            <w:tcW w:w="2259" w:type="pct"/>
            <w:noWrap w:val="0"/>
            <w:vAlign w:val="center"/>
          </w:tcPr>
          <w:p>
            <w:pPr>
              <w:pStyle w:val="21"/>
              <w:widowControl w:val="0"/>
              <w:bidi w:val="0"/>
              <w:rPr>
                <w:rFonts w:hint="default"/>
                <w:color w:val="auto"/>
                <w:lang w:val="en-US" w:eastAsia="zh-CN"/>
              </w:rPr>
            </w:pPr>
            <w:r>
              <w:rPr>
                <w:rFonts w:hint="eastAsia" w:cs="Times New Roman"/>
                <w:b w:val="0"/>
                <w:color w:val="auto"/>
                <w:sz w:val="21"/>
                <w:szCs w:val="21"/>
                <w:highlight w:val="none"/>
                <w:lang w:val="en-US" w:eastAsia="zh-CN"/>
              </w:rPr>
              <w:t>170平方米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容积率</w:t>
            </w:r>
          </w:p>
        </w:tc>
        <w:tc>
          <w:tcPr>
            <w:tcW w:w="2259"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建筑密度</w:t>
            </w:r>
          </w:p>
        </w:tc>
        <w:tc>
          <w:tcPr>
            <w:tcW w:w="2259" w:type="pc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17.02%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绿化率</w:t>
            </w: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vMerge w:val="restart"/>
            <w:noWrap w:val="0"/>
            <w:vAlign w:val="center"/>
          </w:tcPr>
          <w:p>
            <w:pPr>
              <w:pStyle w:val="21"/>
              <w:widowControl w:val="0"/>
              <w:bidi w:val="0"/>
              <w:rPr>
                <w:rFonts w:hint="default"/>
                <w:b w:val="0"/>
                <w:bCs w:val="0"/>
                <w:color w:val="auto"/>
                <w:lang w:val="en-US" w:eastAsia="zh-CN"/>
              </w:rPr>
            </w:pPr>
            <w:r>
              <w:rPr>
                <w:rFonts w:hint="eastAsia"/>
                <w:b w:val="0"/>
                <w:bCs w:val="0"/>
                <w:color w:val="auto"/>
                <w:lang w:val="en-US" w:eastAsia="zh-CN"/>
              </w:rPr>
              <w:t>停车位</w:t>
            </w: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地下机动车停车位：63个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0" w:type="pct"/>
            <w:gridSpan w:val="2"/>
            <w:vMerge w:val="continue"/>
            <w:noWrap w:val="0"/>
            <w:vAlign w:val="center"/>
          </w:tcPr>
          <w:p>
            <w:pPr>
              <w:pStyle w:val="21"/>
              <w:widowControl w:val="0"/>
              <w:bidi w:val="0"/>
              <w:rPr>
                <w:rFonts w:hint="eastAsia"/>
                <w:b/>
                <w:bCs/>
                <w:color w:val="auto"/>
                <w:lang w:val="en-US" w:eastAsia="zh-CN"/>
              </w:rPr>
            </w:pPr>
          </w:p>
        </w:tc>
        <w:tc>
          <w:tcPr>
            <w:tcW w:w="2259" w:type="pct"/>
            <w:noWrap w:val="0"/>
            <w:vAlign w:val="center"/>
          </w:tcPr>
          <w:p>
            <w:pPr>
              <w:pStyle w:val="21"/>
              <w:widowControl w:val="0"/>
              <w:bidi w:val="0"/>
              <w:rPr>
                <w:rFonts w:hint="default"/>
                <w:color w:val="auto"/>
                <w:lang w:val="en-US" w:eastAsia="zh-CN"/>
              </w:rPr>
            </w:pPr>
            <w:r>
              <w:rPr>
                <w:rFonts w:hint="eastAsia"/>
                <w:color w:val="auto"/>
                <w:lang w:val="en-US" w:eastAsia="zh-CN"/>
              </w:rPr>
              <w:t>非机动车停车位：450个</w:t>
            </w:r>
          </w:p>
        </w:tc>
      </w:tr>
    </w:tbl>
    <w:p>
      <w:pPr>
        <w:pStyle w:val="15"/>
        <w:pBdr>
          <w:top w:val="none" w:color="auto" w:sz="0" w:space="0"/>
          <w:left w:val="none" w:color="auto" w:sz="0" w:space="0"/>
          <w:bottom w:val="none" w:color="auto" w:sz="0" w:space="0"/>
          <w:right w:val="none" w:color="auto" w:sz="0" w:space="0"/>
          <w:between w:val="none" w:color="auto" w:sz="0" w:space="0"/>
        </w:pBdr>
        <w:ind w:left="0" w:leftChars="0" w:firstLine="0" w:firstLineChars="0"/>
        <w:jc w:val="both"/>
        <w:rPr>
          <w:rFonts w:hint="default" w:ascii="Times New Roman" w:hAnsi="Times New Roman" w:eastAsia="宋体" w:cs="Times New Roman"/>
          <w:lang w:val="en-US" w:eastAsia="zh-CN"/>
        </w:rPr>
      </w:pP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b w:val="0"/>
          <w:bCs w:val="0"/>
          <w:sz w:val="28"/>
          <w:szCs w:val="28"/>
          <w:lang w:val="en-US" w:eastAsia="zh-CN"/>
        </w:rPr>
      </w:pPr>
      <w:r>
        <w:rPr>
          <w:rFonts w:hint="default" w:ascii="Times New Roman" w:hAnsi="Times New Roman" w:eastAsia="宋体" w:cs="Times New Roman"/>
          <w:b w:val="0"/>
          <w:bCs w:val="0"/>
          <w:sz w:val="28"/>
          <w:szCs w:val="28"/>
          <w:lang w:val="en-US" w:eastAsia="zh-CN"/>
        </w:rPr>
        <w:t>合肥市工程技术学校</w:t>
      </w: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b w:val="0"/>
          <w:bCs w:val="0"/>
          <w:sz w:val="28"/>
          <w:szCs w:val="28"/>
          <w:lang w:val="en-US" w:eastAsia="zh-CN"/>
        </w:rPr>
      </w:pPr>
      <w:r>
        <w:rPr>
          <w:rFonts w:hint="default" w:ascii="Times New Roman" w:hAnsi="Times New Roman" w:eastAsia="宋体" w:cs="Times New Roman"/>
          <w:b w:val="0"/>
          <w:bCs w:val="0"/>
          <w:sz w:val="28"/>
          <w:szCs w:val="28"/>
          <w:lang w:val="en-US" w:eastAsia="zh-CN"/>
        </w:rPr>
        <w:t>202</w:t>
      </w:r>
      <w:r>
        <w:rPr>
          <w:rFonts w:hint="eastAsia" w:ascii="Times New Roman" w:hAnsi="Times New Roman" w:cs="Times New Roman"/>
          <w:b w:val="0"/>
          <w:bCs w:val="0"/>
          <w:sz w:val="28"/>
          <w:szCs w:val="28"/>
          <w:lang w:val="en-US" w:eastAsia="zh-CN"/>
        </w:rPr>
        <w:t>4</w:t>
      </w:r>
      <w:r>
        <w:rPr>
          <w:rFonts w:hint="default" w:ascii="Times New Roman" w:hAnsi="Times New Roman" w:eastAsia="宋体" w:cs="Times New Roman"/>
          <w:b w:val="0"/>
          <w:bCs w:val="0"/>
          <w:sz w:val="28"/>
          <w:szCs w:val="28"/>
          <w:lang w:val="en-US" w:eastAsia="zh-CN"/>
        </w:rPr>
        <w:t>年</w:t>
      </w:r>
      <w:r>
        <w:rPr>
          <w:rFonts w:hint="eastAsia" w:ascii="Times New Roman" w:hAnsi="Times New Roman" w:cs="Times New Roman"/>
          <w:b w:val="0"/>
          <w:bCs w:val="0"/>
          <w:sz w:val="28"/>
          <w:szCs w:val="28"/>
          <w:lang w:val="en-US" w:eastAsia="zh-CN"/>
        </w:rPr>
        <w:t>3</w:t>
      </w:r>
      <w:r>
        <w:rPr>
          <w:rFonts w:hint="default" w:ascii="Times New Roman" w:hAnsi="Times New Roman" w:eastAsia="宋体" w:cs="Times New Roman"/>
          <w:b w:val="0"/>
          <w:bCs w:val="0"/>
          <w:sz w:val="28"/>
          <w:szCs w:val="28"/>
          <w:lang w:val="en-US" w:eastAsia="zh-CN"/>
        </w:rPr>
        <w:t>月</w:t>
      </w:r>
      <w:r>
        <w:rPr>
          <w:rFonts w:hint="eastAsia" w:ascii="Times New Roman" w:hAnsi="Times New Roman" w:cs="Times New Roman"/>
          <w:b w:val="0"/>
          <w:bCs w:val="0"/>
          <w:sz w:val="28"/>
          <w:szCs w:val="28"/>
          <w:lang w:val="en-US" w:eastAsia="zh-CN"/>
        </w:rPr>
        <w:t>15</w:t>
      </w:r>
      <w:r>
        <w:rPr>
          <w:rFonts w:hint="default" w:ascii="Times New Roman" w:hAnsi="Times New Roman" w:eastAsia="宋体" w:cs="Times New Roman"/>
          <w:b w:val="0"/>
          <w:bCs w:val="0"/>
          <w:sz w:val="28"/>
          <w:szCs w:val="28"/>
          <w:lang w:val="en-US" w:eastAsia="zh-CN"/>
        </w:rPr>
        <w:t>日</w:t>
      </w: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b w:val="0"/>
          <w:bCs w:val="0"/>
          <w:sz w:val="28"/>
          <w:szCs w:val="28"/>
          <w:lang w:val="en-US" w:eastAsia="zh-CN"/>
        </w:rPr>
      </w:pP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b w:val="0"/>
          <w:bCs w:val="0"/>
          <w:sz w:val="28"/>
          <w:szCs w:val="28"/>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outlineLvl w:val="0"/>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附件7 环保投资一览表</w:t>
      </w:r>
    </w:p>
    <w:p>
      <w:pPr>
        <w:bidi w:val="0"/>
        <w:ind w:left="0" w:leftChars="0" w:firstLine="0" w:firstLineChars="0"/>
        <w:jc w:val="center"/>
        <w:rPr>
          <w:rFonts w:hint="default"/>
          <w:b/>
          <w:bCs/>
          <w:sz w:val="30"/>
          <w:szCs w:val="30"/>
          <w:lang w:val="en-US" w:eastAsia="zh-CN"/>
        </w:rPr>
      </w:pPr>
      <w:r>
        <w:rPr>
          <w:rFonts w:hint="default"/>
          <w:b/>
          <w:bCs/>
          <w:sz w:val="30"/>
          <w:szCs w:val="30"/>
          <w:lang w:val="en-US" w:eastAsia="zh-CN"/>
        </w:rPr>
        <w:t>合肥市工程技术学校学生宿舍楼建设项目环保投资一览表</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0"/>
        <w:gridCol w:w="3911"/>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2" w:type="pct"/>
            <w:gridSpan w:val="2"/>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环保项目（设施）名称</w:t>
            </w:r>
          </w:p>
        </w:tc>
        <w:tc>
          <w:tcPr>
            <w:tcW w:w="1577"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实际投资额（万元）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2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废气</w:t>
            </w:r>
          </w:p>
        </w:tc>
        <w:tc>
          <w:tcPr>
            <w:tcW w:w="391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预留烟道</w:t>
            </w:r>
          </w:p>
        </w:tc>
        <w:tc>
          <w:tcPr>
            <w:tcW w:w="268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2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废水</w:t>
            </w:r>
          </w:p>
        </w:tc>
        <w:tc>
          <w:tcPr>
            <w:tcW w:w="391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hAnsi="宋体" w:eastAsia="宋体" w:cs="宋体"/>
                <w:bCs/>
                <w:color w:val="auto"/>
                <w:sz w:val="21"/>
                <w:szCs w:val="21"/>
                <w:lang w:val="en-US" w:eastAsia="zh-CN"/>
              </w:rPr>
              <w:t>化粪池</w:t>
            </w:r>
            <w:r>
              <w:rPr>
                <w:rFonts w:hint="eastAsia" w:hAnsi="宋体" w:eastAsia="宋体" w:cs="宋体"/>
                <w:bCs/>
                <w:color w:val="auto"/>
                <w:sz w:val="21"/>
                <w:szCs w:val="21"/>
              </w:rPr>
              <w:t>、污水管网</w:t>
            </w:r>
          </w:p>
        </w:tc>
        <w:tc>
          <w:tcPr>
            <w:tcW w:w="268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2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噪声</w:t>
            </w:r>
          </w:p>
        </w:tc>
        <w:tc>
          <w:tcPr>
            <w:tcW w:w="391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hAnsi="宋体" w:eastAsia="宋体" w:cs="宋体"/>
                <w:bCs/>
                <w:color w:val="auto"/>
                <w:sz w:val="21"/>
                <w:szCs w:val="21"/>
              </w:rPr>
              <w:t>合理布局、选用低噪声设备、安装减震基座、设备房隔声降噪</w:t>
            </w:r>
          </w:p>
        </w:tc>
        <w:tc>
          <w:tcPr>
            <w:tcW w:w="268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2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固废</w:t>
            </w:r>
          </w:p>
        </w:tc>
        <w:tc>
          <w:tcPr>
            <w:tcW w:w="391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hAnsi="宋体" w:eastAsia="宋体" w:cs="宋体"/>
                <w:bCs/>
                <w:color w:val="auto"/>
                <w:sz w:val="21"/>
                <w:szCs w:val="21"/>
              </w:rPr>
              <w:t>垃圾</w:t>
            </w:r>
            <w:r>
              <w:rPr>
                <w:rFonts w:hint="eastAsia" w:hAnsi="宋体" w:eastAsia="宋体" w:cs="宋体"/>
                <w:bCs/>
                <w:color w:val="auto"/>
                <w:sz w:val="21"/>
                <w:szCs w:val="21"/>
                <w:lang w:eastAsia="zh-CN"/>
              </w:rPr>
              <w:t>桶</w:t>
            </w:r>
            <w:r>
              <w:rPr>
                <w:rFonts w:hint="eastAsia" w:hAnsi="宋体" w:eastAsia="宋体" w:cs="宋体"/>
                <w:bCs/>
                <w:color w:val="auto"/>
                <w:sz w:val="21"/>
                <w:szCs w:val="21"/>
              </w:rPr>
              <w:t>、定期清运</w:t>
            </w:r>
          </w:p>
        </w:tc>
        <w:tc>
          <w:tcPr>
            <w:tcW w:w="268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2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绿化</w:t>
            </w:r>
          </w:p>
        </w:tc>
        <w:tc>
          <w:tcPr>
            <w:tcW w:w="391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hAnsi="宋体" w:eastAsia="宋体" w:cs="宋体"/>
                <w:bCs/>
                <w:color w:val="auto"/>
                <w:sz w:val="21"/>
                <w:szCs w:val="21"/>
              </w:rPr>
              <w:t>绿化、景观</w:t>
            </w:r>
          </w:p>
        </w:tc>
        <w:tc>
          <w:tcPr>
            <w:tcW w:w="268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2" w:type="pct"/>
            <w:gridSpan w:val="2"/>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b w:val="0"/>
                <w:bCs w:val="0"/>
                <w:color w:val="auto"/>
                <w:sz w:val="21"/>
                <w:szCs w:val="21"/>
                <w:vertAlign w:val="baseline"/>
                <w:lang w:val="en-US" w:eastAsia="zh-CN"/>
              </w:rPr>
            </w:pPr>
            <w:r>
              <w:rPr>
                <w:rFonts w:hint="eastAsia" w:cs="Times New Roman"/>
                <w:b w:val="0"/>
                <w:bCs w:val="0"/>
                <w:snapToGrid w:val="0"/>
                <w:color w:val="auto"/>
                <w:sz w:val="21"/>
                <w:szCs w:val="21"/>
                <w:lang w:val="en-US" w:eastAsia="zh-CN"/>
              </w:rPr>
              <w:t>合计</w:t>
            </w:r>
          </w:p>
        </w:tc>
        <w:tc>
          <w:tcPr>
            <w:tcW w:w="1577"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75</w:t>
            </w:r>
          </w:p>
        </w:tc>
      </w:tr>
    </w:tbl>
    <w:p>
      <w:pPr>
        <w:pStyle w:val="4"/>
        <w:rPr>
          <w:rFonts w:hint="default" w:ascii="Times New Roman" w:hAnsi="Times New Roman" w:cs="Times New Roman"/>
          <w:lang w:val="en-US" w:eastAsia="zh-CN"/>
        </w:rPr>
      </w:pP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sz w:val="28"/>
          <w:szCs w:val="28"/>
          <w:lang w:val="en-US" w:eastAsia="zh-CN"/>
        </w:rPr>
      </w:pP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sz w:val="28"/>
          <w:szCs w:val="28"/>
          <w:lang w:val="en-US" w:eastAsia="zh-CN"/>
        </w:rPr>
      </w:pP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合肥市工程技术学校</w:t>
      </w:r>
    </w:p>
    <w:p>
      <w:pPr>
        <w:pStyle w:val="15"/>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jc w:val="right"/>
        <w:textAlignment w:val="auto"/>
        <w:rPr>
          <w:rFonts w:hint="default" w:ascii="Times New Roman" w:hAnsi="Times New Roman" w:eastAsia="宋体" w:cs="Times New Roman"/>
          <w:sz w:val="28"/>
          <w:szCs w:val="28"/>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sz w:val="28"/>
          <w:szCs w:val="28"/>
          <w:lang w:val="en-US" w:eastAsia="zh-CN"/>
        </w:rPr>
        <w:t>202</w:t>
      </w:r>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val="en-US" w:eastAsia="zh-CN"/>
        </w:rPr>
        <w:t>年</w:t>
      </w:r>
      <w:r>
        <w:rPr>
          <w:rFonts w:hint="eastAsia" w:ascii="Times New Roman" w:hAnsi="Times New Roman" w:cs="Times New Roman"/>
          <w:sz w:val="28"/>
          <w:szCs w:val="28"/>
          <w:lang w:val="en-US" w:eastAsia="zh-CN"/>
        </w:rPr>
        <w:t>3</w:t>
      </w:r>
      <w:r>
        <w:rPr>
          <w:rFonts w:hint="default" w:ascii="Times New Roman" w:hAnsi="Times New Roman" w:eastAsia="宋体" w:cs="Times New Roman"/>
          <w:sz w:val="28"/>
          <w:szCs w:val="28"/>
          <w:lang w:val="en-US" w:eastAsia="zh-CN"/>
        </w:rPr>
        <w:t>月</w:t>
      </w:r>
      <w:r>
        <w:rPr>
          <w:rFonts w:hint="eastAsia" w:ascii="Times New Roman" w:hAnsi="Times New Roman" w:cs="Times New Roman"/>
          <w:sz w:val="28"/>
          <w:szCs w:val="28"/>
          <w:lang w:val="en-US" w:eastAsia="zh-CN"/>
        </w:rPr>
        <w:t>15</w:t>
      </w:r>
      <w:r>
        <w:rPr>
          <w:rFonts w:hint="default" w:ascii="Times New Roman" w:hAnsi="Times New Roman" w:eastAsia="宋体" w:cs="Times New Roman"/>
          <w:sz w:val="28"/>
          <w:szCs w:val="28"/>
          <w:lang w:val="en-US" w:eastAsia="zh-CN"/>
        </w:rPr>
        <w:t>日</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rPr>
          <w:rFonts w:hint="eastAsia"/>
          <w:b/>
          <w:bCs/>
          <w:lang w:val="en-US" w:eastAsia="zh-CN"/>
        </w:rPr>
        <w:t>附件8 验收检测报告</w:t>
      </w:r>
      <w:r>
        <w:drawing>
          <wp:inline distT="0" distB="0" distL="114300" distR="114300">
            <wp:extent cx="5295900" cy="7486650"/>
            <wp:effectExtent l="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46"/>
                    <a:stretch>
                      <a:fillRect/>
                    </a:stretch>
                  </pic:blipFill>
                  <pic:spPr>
                    <a:xfrm>
                      <a:off x="0" y="0"/>
                      <a:ext cx="5295900" cy="7486650"/>
                    </a:xfrm>
                    <a:prstGeom prst="rect">
                      <a:avLst/>
                    </a:prstGeom>
                    <a:noFill/>
                    <a:ln>
                      <a:noFill/>
                    </a:ln>
                  </pic:spPr>
                </pic:pic>
              </a:graphicData>
            </a:graphic>
          </wp:inline>
        </w:drawing>
      </w:r>
      <w:r>
        <w:drawing>
          <wp:inline distT="0" distB="0" distL="114300" distR="114300">
            <wp:extent cx="5305425" cy="7505700"/>
            <wp:effectExtent l="0" t="0" r="952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7"/>
                    <a:stretch>
                      <a:fillRect/>
                    </a:stretch>
                  </pic:blipFill>
                  <pic:spPr>
                    <a:xfrm>
                      <a:off x="0" y="0"/>
                      <a:ext cx="5305425" cy="7505700"/>
                    </a:xfrm>
                    <a:prstGeom prst="rect">
                      <a:avLst/>
                    </a:prstGeom>
                    <a:noFill/>
                    <a:ln>
                      <a:noFill/>
                    </a:ln>
                  </pic:spPr>
                </pic:pic>
              </a:graphicData>
            </a:graphic>
          </wp:inline>
        </w:drawing>
      </w:r>
      <w:r>
        <w:drawing>
          <wp:inline distT="0" distB="0" distL="114300" distR="114300">
            <wp:extent cx="5324475" cy="7505700"/>
            <wp:effectExtent l="0" t="0" r="9525"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48"/>
                    <a:stretch>
                      <a:fillRect/>
                    </a:stretch>
                  </pic:blipFill>
                  <pic:spPr>
                    <a:xfrm>
                      <a:off x="0" y="0"/>
                      <a:ext cx="5324475" cy="75057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rFonts w:hint="eastAsia"/>
          <w:b/>
          <w:bCs/>
          <w:lang w:val="en-US" w:eastAsia="zh-CN"/>
        </w:rPr>
      </w:pPr>
      <w:r>
        <w:rPr>
          <w:rFonts w:hint="eastAsia"/>
          <w:b/>
          <w:bCs/>
          <w:lang w:val="en-US" w:eastAsia="zh-CN"/>
        </w:rPr>
        <w:t>附件9 验收意见</w:t>
      </w:r>
    </w:p>
    <w:p>
      <w:pPr>
        <w:bidi w:val="0"/>
        <w:ind w:left="0" w:leftChars="0" w:firstLine="0" w:firstLineChars="0"/>
        <w:jc w:val="center"/>
        <w:rPr>
          <w:rFonts w:hint="default"/>
          <w:b/>
          <w:bCs/>
          <w:sz w:val="36"/>
          <w:szCs w:val="36"/>
          <w:lang w:val="en-US" w:eastAsia="zh-CN"/>
        </w:rPr>
      </w:pPr>
      <w:r>
        <w:rPr>
          <w:rFonts w:hint="default"/>
          <w:b/>
          <w:bCs/>
          <w:sz w:val="36"/>
          <w:szCs w:val="36"/>
          <w:lang w:val="en-US" w:eastAsia="zh-CN"/>
        </w:rPr>
        <w:t>合肥市工程技术学校学生宿舍楼建设项目</w:t>
      </w:r>
    </w:p>
    <w:p>
      <w:pPr>
        <w:bidi w:val="0"/>
        <w:ind w:left="0" w:leftChars="0" w:firstLine="0" w:firstLineChars="0"/>
        <w:jc w:val="center"/>
        <w:rPr>
          <w:rFonts w:hint="default" w:ascii="Times New Roman" w:hAnsi="Times New Roman" w:eastAsia="宋体" w:cs="Times New Roman"/>
          <w:b/>
          <w:color w:val="auto"/>
          <w:szCs w:val="36"/>
        </w:rPr>
      </w:pPr>
      <w:r>
        <w:rPr>
          <w:rFonts w:hint="default"/>
          <w:b/>
          <w:bCs/>
          <w:sz w:val="36"/>
          <w:szCs w:val="36"/>
        </w:rPr>
        <w:t>竣工环境保护验收意见</w:t>
      </w:r>
    </w:p>
    <w:p>
      <w:pPr>
        <w:bidi w:val="0"/>
        <w:rPr>
          <w:rFonts w:hint="default" w:ascii="Times New Roman" w:hAnsi="Times New Roman" w:eastAsia="宋体" w:cs="Times New Roman"/>
        </w:rPr>
      </w:pPr>
      <w:r>
        <w:rPr>
          <w:rFonts w:hint="default" w:ascii="Times New Roman" w:hAnsi="Times New Roman" w:eastAsia="宋体" w:cs="Times New Roman"/>
          <w:lang w:val="en-US" w:eastAsia="zh-CN"/>
        </w:rPr>
        <w:t>2024年3月29日，根据合肥市工程技术学校学生宿舍楼建设项目竣工环境保护验收监测报告并对照《建设项目竣工环境保护验收暂行办法》，严格依照国家有关法律法规、建设项目竣工环境保护验收技术指南、本项目环境影响评价报告书和审批部门审批决定等要求对本项目进行验收，提出意见如下：</w:t>
      </w:r>
    </w:p>
    <w:p>
      <w:pPr>
        <w:bidi w:val="0"/>
        <w:rPr>
          <w:rFonts w:hint="default" w:ascii="Times New Roman" w:hAnsi="Times New Roman" w:eastAsia="宋体" w:cs="Times New Roman"/>
          <w:b/>
          <w:bCs/>
        </w:rPr>
      </w:pPr>
      <w:r>
        <w:rPr>
          <w:rFonts w:hint="default" w:ascii="Times New Roman" w:hAnsi="Times New Roman" w:eastAsia="宋体" w:cs="Times New Roman"/>
          <w:b/>
          <w:bCs/>
        </w:rPr>
        <w:t>一、工程建设基本情况</w:t>
      </w:r>
    </w:p>
    <w:p>
      <w:pPr>
        <w:bidi w:val="0"/>
        <w:rPr>
          <w:rFonts w:hint="default" w:ascii="Times New Roman" w:hAnsi="Times New Roman" w:eastAsia="宋体" w:cs="Times New Roman"/>
        </w:rPr>
      </w:pPr>
      <w:r>
        <w:rPr>
          <w:rFonts w:hint="default" w:ascii="Times New Roman" w:hAnsi="Times New Roman" w:eastAsia="宋体" w:cs="Times New Roman"/>
        </w:rPr>
        <w:t>（一）建设地点、规模、主要建设内容</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合肥市工程技术学校学生宿舍楼建设项目位于巢湖市半汤路15号，项目总用地4769平方米，总建筑面积11840平方米，其中地上建筑面积9390平方米，地下建筑面积2450平方米，主要建设一栋6层（北侧为4层、南侧为6层），地下1层的C字型宿舍楼。项目设计使用年限50年，结构安全等级二级，抗震设防烈度7度，设计住宿人数900人。</w:t>
      </w:r>
    </w:p>
    <w:p>
      <w:pPr>
        <w:bidi w:val="0"/>
        <w:rPr>
          <w:rFonts w:hint="default" w:ascii="Times New Roman" w:hAnsi="Times New Roman" w:eastAsia="宋体" w:cs="Times New Roman"/>
        </w:rPr>
      </w:pPr>
      <w:r>
        <w:rPr>
          <w:rFonts w:hint="default" w:ascii="Times New Roman" w:hAnsi="Times New Roman" w:eastAsia="宋体" w:cs="Times New Roman"/>
        </w:rPr>
        <w:t>（二）建设过程及环保审批情况</w:t>
      </w:r>
    </w:p>
    <w:p>
      <w:pPr>
        <w:bidi w:val="0"/>
        <w:rPr>
          <w:rFonts w:hint="default" w:ascii="Times New Roman" w:hAnsi="Times New Roman" w:eastAsia="宋体" w:cs="Times New Roman"/>
        </w:rPr>
      </w:pPr>
      <w:r>
        <w:rPr>
          <w:rFonts w:hint="default" w:ascii="Times New Roman" w:hAnsi="Times New Roman" w:eastAsia="宋体" w:cs="Times New Roman"/>
        </w:rPr>
        <w:t>20</w:t>
      </w:r>
      <w:r>
        <w:rPr>
          <w:rFonts w:hint="default" w:ascii="Times New Roman" w:hAnsi="Times New Roman" w:eastAsia="宋体" w:cs="Times New Roman"/>
          <w:lang w:val="en-US" w:eastAsia="zh-CN"/>
        </w:rPr>
        <w:t>21</w:t>
      </w:r>
      <w:r>
        <w:rPr>
          <w:rFonts w:hint="default" w:ascii="Times New Roman" w:hAnsi="Times New Roman" w:eastAsia="宋体" w:cs="Times New Roman"/>
        </w:rPr>
        <w:t>年</w:t>
      </w:r>
      <w:r>
        <w:rPr>
          <w:rFonts w:hint="default" w:ascii="Times New Roman" w:hAnsi="Times New Roman" w:eastAsia="宋体" w:cs="Times New Roman"/>
          <w:lang w:val="en-US" w:eastAsia="zh-CN"/>
        </w:rPr>
        <w:t>4</w:t>
      </w:r>
      <w:r>
        <w:rPr>
          <w:rFonts w:hint="default" w:ascii="Times New Roman" w:hAnsi="Times New Roman" w:eastAsia="宋体" w:cs="Times New Roman"/>
        </w:rPr>
        <w:t>月</w:t>
      </w:r>
      <w:r>
        <w:rPr>
          <w:rFonts w:hint="default" w:ascii="Times New Roman" w:hAnsi="Times New Roman" w:eastAsia="宋体" w:cs="Times New Roman"/>
          <w:lang w:val="en-US" w:eastAsia="zh-CN"/>
        </w:rPr>
        <w:t>28</w:t>
      </w:r>
      <w:r>
        <w:rPr>
          <w:rFonts w:hint="default" w:ascii="Times New Roman" w:hAnsi="Times New Roman" w:eastAsia="宋体" w:cs="Times New Roman"/>
        </w:rPr>
        <w:t>日，</w:t>
      </w:r>
      <w:r>
        <w:rPr>
          <w:rFonts w:hint="default" w:ascii="Times New Roman" w:hAnsi="Times New Roman" w:eastAsia="宋体" w:cs="Times New Roman"/>
          <w:lang w:val="en-US" w:eastAsia="zh-CN"/>
        </w:rPr>
        <w:t>合肥市发展和改革委员会</w:t>
      </w:r>
      <w:r>
        <w:rPr>
          <w:rFonts w:hint="default" w:ascii="Times New Roman" w:hAnsi="Times New Roman" w:eastAsia="宋体" w:cs="Times New Roman"/>
        </w:rPr>
        <w:t>以</w:t>
      </w:r>
      <w:r>
        <w:rPr>
          <w:rFonts w:hint="default" w:ascii="Times New Roman" w:hAnsi="Times New Roman" w:eastAsia="宋体" w:cs="Times New Roman"/>
          <w:lang w:val="en-US" w:eastAsia="zh-CN"/>
        </w:rPr>
        <w:t>合发改社会</w:t>
      </w:r>
      <w:r>
        <w:rPr>
          <w:rFonts w:hint="default" w:ascii="Times New Roman" w:hAnsi="Times New Roman" w:eastAsia="宋体" w:cs="Times New Roman"/>
        </w:rPr>
        <w:t>[</w:t>
      </w:r>
      <w:r>
        <w:rPr>
          <w:rFonts w:hint="default" w:ascii="Times New Roman" w:hAnsi="Times New Roman" w:eastAsia="宋体" w:cs="Times New Roman"/>
          <w:lang w:val="en-US" w:eastAsia="zh-CN"/>
        </w:rPr>
        <w:t>2021</w:t>
      </w:r>
      <w:r>
        <w:rPr>
          <w:rFonts w:hint="default" w:ascii="Times New Roman" w:hAnsi="Times New Roman" w:eastAsia="宋体" w:cs="Times New Roman"/>
        </w:rPr>
        <w:t>]</w:t>
      </w:r>
      <w:r>
        <w:rPr>
          <w:rFonts w:hint="default" w:ascii="Times New Roman" w:hAnsi="Times New Roman" w:eastAsia="宋体" w:cs="Times New Roman"/>
          <w:lang w:val="en-US" w:eastAsia="zh-CN"/>
        </w:rPr>
        <w:t>380</w:t>
      </w:r>
      <w:r>
        <w:rPr>
          <w:rFonts w:hint="default" w:ascii="Times New Roman" w:hAnsi="Times New Roman" w:eastAsia="宋体" w:cs="Times New Roman"/>
        </w:rPr>
        <w:t>号对关于</w:t>
      </w:r>
      <w:r>
        <w:rPr>
          <w:rFonts w:hint="default" w:ascii="Times New Roman" w:hAnsi="Times New Roman" w:eastAsia="宋体" w:cs="Times New Roman"/>
          <w:lang w:val="en-US" w:eastAsia="zh-CN"/>
        </w:rPr>
        <w:t>合肥市工程技术学校学生宿舍楼建设项目</w:t>
      </w:r>
      <w:r>
        <w:rPr>
          <w:rFonts w:hint="default" w:ascii="Times New Roman" w:hAnsi="Times New Roman" w:eastAsia="宋体" w:cs="Times New Roman"/>
        </w:rPr>
        <w:t>立项的批复；</w:t>
      </w:r>
    </w:p>
    <w:p>
      <w:pPr>
        <w:bidi w:val="0"/>
        <w:rPr>
          <w:rFonts w:hint="default" w:ascii="Times New Roman" w:hAnsi="Times New Roman" w:eastAsia="宋体" w:cs="Times New Roman"/>
          <w:lang w:eastAsia="zh-CN"/>
        </w:rPr>
      </w:pPr>
      <w:r>
        <w:rPr>
          <w:rFonts w:hint="default" w:ascii="Times New Roman" w:hAnsi="Times New Roman" w:eastAsia="宋体" w:cs="Times New Roman"/>
        </w:rPr>
        <w:t>2021年</w:t>
      </w:r>
      <w:r>
        <w:rPr>
          <w:rFonts w:hint="default" w:ascii="Times New Roman" w:hAnsi="Times New Roman" w:eastAsia="宋体" w:cs="Times New Roman"/>
          <w:lang w:val="en-US" w:eastAsia="zh-CN"/>
        </w:rPr>
        <w:t>6</w:t>
      </w:r>
      <w:r>
        <w:rPr>
          <w:rFonts w:hint="default" w:ascii="Times New Roman" w:hAnsi="Times New Roman" w:eastAsia="宋体" w:cs="Times New Roman"/>
        </w:rPr>
        <w:t>月28日，合肥市发展和改革委员会以合发改社会[2021]</w:t>
      </w:r>
      <w:r>
        <w:rPr>
          <w:rFonts w:hint="default" w:ascii="Times New Roman" w:hAnsi="Times New Roman" w:eastAsia="宋体" w:cs="Times New Roman"/>
          <w:lang w:val="en-US" w:eastAsia="zh-CN"/>
        </w:rPr>
        <w:t>575</w:t>
      </w:r>
      <w:r>
        <w:rPr>
          <w:rFonts w:hint="default" w:ascii="Times New Roman" w:hAnsi="Times New Roman" w:eastAsia="宋体" w:cs="Times New Roman"/>
        </w:rPr>
        <w:t>号对关于合肥市工程技术学校学生宿舍楼建设项目</w:t>
      </w:r>
      <w:r>
        <w:rPr>
          <w:rFonts w:hint="default" w:ascii="Times New Roman" w:hAnsi="Times New Roman" w:eastAsia="宋体" w:cs="Times New Roman"/>
          <w:lang w:val="en-US" w:eastAsia="zh-CN"/>
        </w:rPr>
        <w:t>初步设计</w:t>
      </w:r>
      <w:r>
        <w:rPr>
          <w:rFonts w:hint="default" w:ascii="Times New Roman" w:hAnsi="Times New Roman" w:eastAsia="宋体" w:cs="Times New Roman"/>
        </w:rPr>
        <w:t>的批复</w:t>
      </w:r>
      <w:r>
        <w:rPr>
          <w:rFonts w:hint="default" w:ascii="Times New Roman" w:hAnsi="Times New Roman" w:eastAsia="宋体" w:cs="Times New Roman"/>
          <w:lang w:eastAsia="zh-CN"/>
        </w:rPr>
        <w:t>。</w:t>
      </w:r>
    </w:p>
    <w:p>
      <w:pPr>
        <w:bidi w:val="0"/>
        <w:rPr>
          <w:rFonts w:hint="default" w:ascii="Times New Roman" w:hAnsi="Times New Roman" w:eastAsia="宋体" w:cs="Times New Roman"/>
        </w:rPr>
      </w:pPr>
      <w:r>
        <w:rPr>
          <w:rFonts w:hint="default" w:ascii="Times New Roman" w:hAnsi="Times New Roman" w:eastAsia="宋体" w:cs="Times New Roman"/>
        </w:rPr>
        <w:t>（三）投资情况</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项目总投资为4430万元，环保投资75元，占总投资的1.7%。</w:t>
      </w:r>
    </w:p>
    <w:p>
      <w:pPr>
        <w:bidi w:val="0"/>
        <w:rPr>
          <w:rFonts w:hint="default" w:ascii="Times New Roman" w:hAnsi="Times New Roman" w:eastAsia="宋体" w:cs="Times New Roman"/>
        </w:rPr>
      </w:pPr>
      <w:r>
        <w:rPr>
          <w:rFonts w:hint="default" w:ascii="Times New Roman" w:hAnsi="Times New Roman" w:eastAsia="宋体" w:cs="Times New Roman"/>
        </w:rPr>
        <w:t>（四）验收范围</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本次验收范围为一栋6层（北侧为4层、南侧为6层），地下1层的C字型宿舍楼。</w:t>
      </w:r>
    </w:p>
    <w:p>
      <w:pPr>
        <w:bidi w:val="0"/>
        <w:rPr>
          <w:rFonts w:hint="default" w:ascii="Times New Roman" w:hAnsi="Times New Roman" w:eastAsia="宋体" w:cs="Times New Roman"/>
          <w:b/>
          <w:bCs/>
        </w:rPr>
      </w:pPr>
      <w:r>
        <w:rPr>
          <w:rFonts w:hint="default" w:ascii="Times New Roman" w:hAnsi="Times New Roman" w:eastAsia="宋体" w:cs="Times New Roman"/>
          <w:b/>
          <w:bCs/>
        </w:rPr>
        <w:t>二、工程变动情况</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项目实际建设内容与设计文件一致。</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根据《污染影响类建设项目重大变动清单（试行）》（环办环评函[2020]688号），项目的性质、规模、地点、生产工艺、环境保护措施均未发生变动。</w:t>
      </w:r>
    </w:p>
    <w:p>
      <w:pPr>
        <w:bidi w:val="0"/>
        <w:rPr>
          <w:rFonts w:hint="default" w:ascii="Times New Roman" w:hAnsi="Times New Roman" w:eastAsia="宋体" w:cs="Times New Roman"/>
          <w:b/>
          <w:bCs/>
        </w:rPr>
      </w:pPr>
      <w:r>
        <w:rPr>
          <w:rFonts w:hint="default" w:ascii="Times New Roman" w:hAnsi="Times New Roman" w:eastAsia="宋体" w:cs="Times New Roman"/>
          <w:b/>
          <w:bCs/>
        </w:rPr>
        <w:t>三、环境保护设施建设情况</w:t>
      </w:r>
    </w:p>
    <w:p>
      <w:pPr>
        <w:bidi w:val="0"/>
        <w:rPr>
          <w:rFonts w:hint="default" w:ascii="Times New Roman" w:hAnsi="Times New Roman" w:eastAsia="宋体" w:cs="Times New Roman"/>
        </w:rPr>
      </w:pPr>
      <w:r>
        <w:rPr>
          <w:rFonts w:hint="default" w:ascii="Times New Roman" w:hAnsi="Times New Roman" w:eastAsia="宋体" w:cs="Times New Roman"/>
        </w:rPr>
        <w:t>（一）废水</w:t>
      </w:r>
    </w:p>
    <w:p>
      <w:pPr>
        <w:bidi w:val="0"/>
        <w:rPr>
          <w:rFonts w:hint="default" w:ascii="Times New Roman" w:hAnsi="Times New Roman" w:eastAsia="宋体" w:cs="Times New Roman"/>
        </w:rPr>
      </w:pPr>
      <w:r>
        <w:rPr>
          <w:rFonts w:hint="default" w:ascii="Times New Roman" w:hAnsi="Times New Roman" w:eastAsia="宋体" w:cs="Times New Roman"/>
        </w:rPr>
        <w:t>本项目为学校宿舍楼，无生产废水，营运期废水主要为学生与教职工产生的生活污水。排水系统实行雨污分流，生活污水经化粪池预处理后纳入市政污水管网，送至污水处理厂处理。</w:t>
      </w:r>
    </w:p>
    <w:p>
      <w:pPr>
        <w:bidi w:val="0"/>
        <w:rPr>
          <w:rFonts w:hint="default" w:ascii="Times New Roman" w:hAnsi="Times New Roman" w:eastAsia="宋体" w:cs="Times New Roman"/>
        </w:rPr>
      </w:pPr>
      <w:r>
        <w:rPr>
          <w:rFonts w:hint="default" w:ascii="Times New Roman" w:hAnsi="Times New Roman" w:eastAsia="宋体" w:cs="Times New Roman"/>
        </w:rPr>
        <w:t>（二）废气</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学生宿舍楼、地下停车库均未投入使用，暂不产生废气。运营后项目主要为汽车尾气。地下车库设置排风口，采用机械排风系统来保证地下停车场的通风量，另外还通过合理调度车辆存放，减少发电机待机时间，降低停车行驶距离来减少汽车尾气的排放量。</w:t>
      </w:r>
    </w:p>
    <w:p>
      <w:pPr>
        <w:bidi w:val="0"/>
        <w:rPr>
          <w:rFonts w:hint="default" w:ascii="Times New Roman" w:hAnsi="Times New Roman" w:eastAsia="宋体" w:cs="Times New Roman"/>
        </w:rPr>
      </w:pPr>
      <w:r>
        <w:rPr>
          <w:rFonts w:hint="default" w:ascii="Times New Roman" w:hAnsi="Times New Roman" w:eastAsia="宋体" w:cs="Times New Roman"/>
          <w:lang w:val="en-US" w:eastAsia="zh-CN"/>
        </w:rPr>
        <w:t>（三）噪声</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运营期噪声主要来自于配电房、水泵房、机动车及社会活动噪声。通过合理调整平面规划，配电房与水泵房设置于学生宿舍楼地下一层，且配电房与水泵房在专门的设备房内，设备安装减震基座。所有入室窗户均采用中空隔声玻璃，现场通过充分利用建筑物隔声，增加绿化、车辆减速、距离衰减等措施进行隔声降噪。</w:t>
      </w:r>
    </w:p>
    <w:p>
      <w:pPr>
        <w:bidi w:val="0"/>
        <w:rPr>
          <w:rFonts w:hint="default" w:ascii="Times New Roman" w:hAnsi="Times New Roman" w:eastAsia="宋体" w:cs="Times New Roman"/>
        </w:rPr>
      </w:pPr>
      <w:r>
        <w:rPr>
          <w:rFonts w:hint="default" w:ascii="Times New Roman" w:hAnsi="Times New Roman" w:eastAsia="宋体" w:cs="Times New Roman"/>
        </w:rPr>
        <w:t>（四）固体废物</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固废主要为师生日常生活产生的生活垃圾，采用密闭垃圾桶对生活垃圾进行袋装分类收集，送填埋场作无害化处理。对有利用价值的回收后综合利用，其它无利用价值的普通垃圾及时收集后进入项目区内垃圾临时收集点，由环卫部门统一及时清运处理，垃圾每天早、晚各收集一次，确保生活垃圾收集率达到100%。对本项目垃圾收集桶加强管理，保持其清洁卫生。</w:t>
      </w:r>
    </w:p>
    <w:p>
      <w:pPr>
        <w:bidi w:val="0"/>
        <w:rPr>
          <w:rFonts w:hint="default" w:ascii="Times New Roman" w:hAnsi="Times New Roman" w:eastAsia="宋体" w:cs="Times New Roman"/>
          <w:b/>
          <w:bCs/>
        </w:rPr>
      </w:pPr>
      <w:r>
        <w:rPr>
          <w:rFonts w:hint="default" w:ascii="Times New Roman" w:hAnsi="Times New Roman" w:eastAsia="宋体" w:cs="Times New Roman"/>
          <w:b/>
          <w:bCs/>
        </w:rPr>
        <w:t>四、环境保护设施调试效果</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（1）噪声监测结果</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在竣工验收监测期间，项目窗外噪声监测结果均小于标准限值，满足《声环境质量标准》（GB3096-2008）2类标准；4#6个点位，在竣工验收监测期间，项目环境噪声监测结果均小于标准限值，满足《工业企业厂界环境噪声排放标准》（GB12348-2008）中2类标准。</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废水现场勘查结果</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本项目为学校学生宿舍楼，营运期废水主要来自学生与和教职工产生的生活污水，排水系统实行雨、污分流。生活污水经化粪池预处理后，纳入周边市政污水管网，送至污水处理厂处理。</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废气现场勘查结果</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本项目废气主要为地下停车场的汽车尾气。地下停车场设置排气管道，产生的废气经专用管道引至地面电动车停车场。</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（4）固废现场勘查结果</w:t>
      </w:r>
    </w:p>
    <w:p>
      <w:pPr>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固废主要为学生与教职工日常生活产生的生活垃圾，采用密闭垃圾桶对生活垃圾进行袋装分类收集，对有利用价值的回收后综合利用，其它无利用价值的普通垃圾及时收集后由环卫部门统一及时清运处理，垃圾每天早、晚各收集一次，确保生活垃圾收集率达到100%。对本项目垃圾收集桶加强管理，保持其清洁卫生。</w:t>
      </w:r>
    </w:p>
    <w:p>
      <w:pPr>
        <w:bidi w:val="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五、验收结论</w:t>
      </w:r>
    </w:p>
    <w:p>
      <w:pPr>
        <w:bidi w:val="0"/>
        <w:rPr>
          <w:rFonts w:hint="default" w:ascii="Times New Roman" w:hAnsi="Times New Roman" w:eastAsia="宋体" w:cs="Times New Roman"/>
        </w:rPr>
      </w:pPr>
      <w:r>
        <w:rPr>
          <w:rFonts w:hint="default" w:ascii="Times New Roman" w:hAnsi="Times New Roman" w:eastAsia="宋体" w:cs="Times New Roman"/>
        </w:rPr>
        <w:t>本次验收监测期间生产设施和环保设施正常运行。项目执行了环境影响评价和“三同时”制度，环境保护手续齐全，在实施过程中基本按照环评文件及批复要求配套建设了相应的环境保护设施，落实了相应的环境保护措施，噪声等主要污染物达标排放，基本符合环境保护验收条件，同意该项目通过竣工环境保护验收。</w:t>
      </w:r>
    </w:p>
    <w:p>
      <w:pPr>
        <w:bidi w:val="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六、后续要求</w:t>
      </w:r>
    </w:p>
    <w:p>
      <w:pPr>
        <w:bidi w:val="0"/>
        <w:rPr>
          <w:rFonts w:hint="default" w:ascii="Times New Roman" w:hAnsi="Times New Roman" w:eastAsia="宋体" w:cs="Times New Roman"/>
        </w:rPr>
      </w:pPr>
      <w:r>
        <w:rPr>
          <w:rFonts w:hint="default" w:ascii="Times New Roman" w:hAnsi="Times New Roman" w:eastAsia="宋体" w:cs="Times New Roman"/>
        </w:rPr>
        <w:t>建议</w:t>
      </w:r>
      <w:r>
        <w:rPr>
          <w:rFonts w:hint="default" w:ascii="Times New Roman" w:hAnsi="Times New Roman" w:eastAsia="宋体" w:cs="Times New Roman"/>
          <w:lang w:eastAsia="zh-CN"/>
        </w:rPr>
        <w:t>建设单位</w:t>
      </w:r>
      <w:r>
        <w:rPr>
          <w:rFonts w:hint="default" w:ascii="Times New Roman" w:hAnsi="Times New Roman" w:eastAsia="宋体" w:cs="Times New Roman"/>
        </w:rPr>
        <w:t>做好环保设施的日常维护、定期清理、保养等工作，确保污染物长期稳定达标排放。</w:t>
      </w:r>
    </w:p>
    <w:p>
      <w:pPr>
        <w:bidi w:val="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七、验收人员信息</w:t>
      </w:r>
    </w:p>
    <w:p>
      <w:pPr>
        <w:bidi w:val="0"/>
        <w:rPr>
          <w:rFonts w:hint="default" w:ascii="Times New Roman" w:hAnsi="Times New Roman" w:eastAsia="宋体" w:cs="Times New Roman"/>
          <w:lang w:eastAsia="zh-CN"/>
        </w:rPr>
      </w:pPr>
      <w:r>
        <w:rPr>
          <w:rFonts w:hint="default" w:ascii="Times New Roman" w:hAnsi="Times New Roman" w:eastAsia="宋体" w:cs="Times New Roman"/>
        </w:rPr>
        <w:t>验收</w:t>
      </w:r>
      <w:r>
        <w:rPr>
          <w:rFonts w:hint="default" w:ascii="Times New Roman" w:hAnsi="Times New Roman" w:eastAsia="宋体" w:cs="Times New Roman"/>
          <w:lang w:eastAsia="zh-CN"/>
        </w:rPr>
        <w:t>人员信息见合肥市工程技术学校学生宿舍楼建设项目竣工环境保护验收</w:t>
      </w:r>
      <w:r>
        <w:rPr>
          <w:rFonts w:hint="default" w:ascii="Times New Roman" w:hAnsi="Times New Roman" w:eastAsia="宋体" w:cs="Times New Roman"/>
          <w:lang w:val="en-US" w:eastAsia="zh-CN"/>
        </w:rPr>
        <w:t>专家技术咨询意见</w:t>
      </w:r>
      <w:r>
        <w:rPr>
          <w:rFonts w:hint="default" w:ascii="Times New Roman" w:hAnsi="Times New Roman" w:eastAsia="宋体" w:cs="Times New Roman"/>
          <w:lang w:eastAsia="zh-CN"/>
        </w:rPr>
        <w:t>。</w:t>
      </w:r>
    </w:p>
    <w:p>
      <w:pPr>
        <w:bidi w:val="0"/>
        <w:jc w:val="right"/>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合肥市工程技术学校</w:t>
      </w:r>
    </w:p>
    <w:p>
      <w:pPr>
        <w:bidi w:val="0"/>
        <w:jc w:val="right"/>
        <w:rPr>
          <w:rFonts w:hint="default" w:ascii="Times New Roman" w:hAnsi="Times New Roman" w:eastAsia="宋体" w:cs="Times New Roman"/>
        </w:rPr>
      </w:pPr>
      <w:r>
        <w:rPr>
          <w:rFonts w:hint="default" w:ascii="Times New Roman" w:hAnsi="Times New Roman" w:eastAsia="宋体" w:cs="Times New Roman"/>
          <w:lang w:val="en-US" w:eastAsia="zh-CN"/>
        </w:rPr>
        <w:t>2024年3月29日</w:t>
      </w:r>
    </w:p>
    <w:p>
      <w:pPr>
        <w:bidi w:val="0"/>
        <w:rPr>
          <w:rFonts w:hint="eastAsia"/>
          <w:lang w:val="en-US" w:eastAsia="zh-CN"/>
        </w:rPr>
      </w:pPr>
    </w:p>
    <w:p>
      <w:pPr>
        <w:rPr>
          <w:rFonts w:hint="eastAsia"/>
          <w:b/>
          <w:bCs/>
          <w:lang w:val="en-US" w:eastAsia="zh-CN"/>
        </w:rPr>
      </w:pPr>
      <w:r>
        <w:rPr>
          <w:rFonts w:hint="eastAsia"/>
          <w:b/>
          <w:bCs/>
          <w:lang w:val="en-US" w:eastAsia="zh-CN"/>
        </w:rPr>
        <w:br w:type="page"/>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rFonts w:hint="eastAsia"/>
          <w:b/>
          <w:bCs/>
          <w:lang w:val="en-US" w:eastAsia="zh-CN"/>
        </w:rPr>
      </w:pPr>
      <w:r>
        <w:rPr>
          <w:rFonts w:hint="eastAsia"/>
          <w:b/>
          <w:bCs/>
          <w:lang w:val="en-US" w:eastAsia="zh-CN"/>
        </w:rPr>
        <w:t>附件10 会议签到表</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0"/>
        <w:rPr>
          <w:rFonts w:hint="default"/>
          <w:lang w:val="en-US" w:eastAsia="zh-CN"/>
        </w:rPr>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r>
        <w:rPr>
          <w:rFonts w:hint="default"/>
          <w:lang w:val="en-US" w:eastAsia="zh-CN"/>
        </w:rPr>
        <w:drawing>
          <wp:inline distT="0" distB="0" distL="114300" distR="114300">
            <wp:extent cx="7470140" cy="5602605"/>
            <wp:effectExtent l="0" t="0" r="17145" b="16510"/>
            <wp:docPr id="2" name="图片 2" descr="会议签到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会议签到簿"/>
                    <pic:cNvPicPr>
                      <a:picLocks noChangeAspect="1"/>
                    </pic:cNvPicPr>
                  </pic:nvPicPr>
                  <pic:blipFill>
                    <a:blip r:embed="rId49"/>
                    <a:stretch>
                      <a:fillRect/>
                    </a:stretch>
                  </pic:blipFill>
                  <pic:spPr>
                    <a:xfrm rot="5400000">
                      <a:off x="0" y="0"/>
                      <a:ext cx="7470140" cy="56026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eastAsia="黑体"/>
          <w:b/>
          <w:color w:val="auto"/>
          <w:sz w:val="21"/>
          <w:szCs w:val="21"/>
          <w:highlight w:val="none"/>
        </w:rPr>
      </w:pPr>
      <w:r>
        <w:rPr>
          <w:rFonts w:eastAsia="黑体"/>
          <w:b/>
          <w:color w:val="auto"/>
          <w:sz w:val="21"/>
          <w:szCs w:val="21"/>
          <w:highlight w:val="none"/>
        </w:rPr>
        <w:t>建设项目竣工环境保护</w:t>
      </w:r>
      <w:r>
        <w:rPr>
          <w:rFonts w:hint="eastAsia" w:eastAsia="黑体"/>
          <w:b/>
          <w:color w:val="auto"/>
          <w:sz w:val="21"/>
          <w:szCs w:val="21"/>
          <w:highlight w:val="none"/>
        </w:rPr>
        <w:t>“</w:t>
      </w:r>
      <w:r>
        <w:rPr>
          <w:rFonts w:eastAsia="黑体"/>
          <w:b/>
          <w:color w:val="auto"/>
          <w:sz w:val="21"/>
          <w:szCs w:val="21"/>
          <w:highlight w:val="none"/>
        </w:rPr>
        <w:t>三同时</w:t>
      </w:r>
      <w:r>
        <w:rPr>
          <w:rFonts w:hint="eastAsia" w:eastAsia="黑体"/>
          <w:b/>
          <w:color w:val="auto"/>
          <w:sz w:val="21"/>
          <w:szCs w:val="21"/>
          <w:highlight w:val="none"/>
        </w:rPr>
        <w:t>”</w:t>
      </w:r>
      <w:r>
        <w:rPr>
          <w:rFonts w:eastAsia="黑体"/>
          <w:b/>
          <w:color w:val="auto"/>
          <w:sz w:val="21"/>
          <w:szCs w:val="21"/>
          <w:highlight w:val="none"/>
        </w:rPr>
        <w:t>验收登记表</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ascii="宋体" w:hAnsi="宋体" w:eastAsia="宋体"/>
          <w:b/>
          <w:color w:val="auto"/>
          <w:sz w:val="21"/>
          <w:szCs w:val="21"/>
          <w:highlight w:val="none"/>
        </w:rPr>
      </w:pPr>
      <w:r>
        <w:rPr>
          <w:rFonts w:ascii="宋体" w:hAnsi="宋体" w:eastAsia="宋体"/>
          <w:b/>
          <w:color w:val="auto"/>
          <w:sz w:val="21"/>
          <w:szCs w:val="21"/>
          <w:highlight w:val="none"/>
        </w:rPr>
        <w:t>填表单位（盖章）：</w:t>
      </w:r>
      <w:r>
        <w:rPr>
          <w:rFonts w:hint="eastAsia" w:ascii="宋体" w:hAnsi="宋体" w:eastAsia="宋体"/>
          <w:b/>
          <w:color w:val="auto"/>
          <w:sz w:val="21"/>
          <w:szCs w:val="21"/>
          <w:highlight w:val="none"/>
        </w:rPr>
        <w:t>合肥市工程技术学校</w:t>
      </w:r>
      <w:r>
        <w:rPr>
          <w:rFonts w:ascii="宋体" w:hAnsi="宋体" w:eastAsia="宋体"/>
          <w:b/>
          <w:color w:val="auto"/>
          <w:sz w:val="21"/>
          <w:szCs w:val="21"/>
          <w:highlight w:val="none"/>
        </w:rPr>
        <w:t xml:space="preserve">         填表人（签字）：                              项目经办人（签字）：</w:t>
      </w:r>
    </w:p>
    <w:tbl>
      <w:tblPr>
        <w:tblStyle w:val="12"/>
        <w:tblW w:w="147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4"/>
        <w:gridCol w:w="706"/>
        <w:gridCol w:w="352"/>
        <w:gridCol w:w="666"/>
        <w:gridCol w:w="742"/>
        <w:gridCol w:w="1224"/>
        <w:gridCol w:w="961"/>
        <w:gridCol w:w="1109"/>
        <w:gridCol w:w="53"/>
        <w:gridCol w:w="134"/>
        <w:gridCol w:w="888"/>
        <w:gridCol w:w="58"/>
        <w:gridCol w:w="193"/>
        <w:gridCol w:w="623"/>
        <w:gridCol w:w="181"/>
        <w:gridCol w:w="1020"/>
        <w:gridCol w:w="158"/>
        <w:gridCol w:w="300"/>
        <w:gridCol w:w="927"/>
        <w:gridCol w:w="486"/>
        <w:gridCol w:w="700"/>
        <w:gridCol w:w="205"/>
        <w:gridCol w:w="473"/>
        <w:gridCol w:w="304"/>
        <w:gridCol w:w="110"/>
        <w:gridCol w:w="146"/>
        <w:gridCol w:w="877"/>
        <w:gridCol w:w="7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404" w:type="dxa"/>
            <w:vMerge w:val="restart"/>
            <w:noWrap w:val="0"/>
            <w:tcMar>
              <w:left w:w="57" w:type="dxa"/>
              <w:right w:w="57" w:type="dxa"/>
            </w:tcMar>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建设项目</w:t>
            </w:r>
          </w:p>
        </w:tc>
        <w:tc>
          <w:tcPr>
            <w:tcW w:w="105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项目名称</w:t>
            </w:r>
          </w:p>
        </w:tc>
        <w:tc>
          <w:tcPr>
            <w:tcW w:w="4755"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合肥市工程技术学校学生宿舍楼建设项目</w:t>
            </w:r>
          </w:p>
        </w:tc>
        <w:tc>
          <w:tcPr>
            <w:tcW w:w="1080"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项目代码</w:t>
            </w:r>
          </w:p>
        </w:tc>
        <w:tc>
          <w:tcPr>
            <w:tcW w:w="21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7"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建设地点</w:t>
            </w:r>
          </w:p>
        </w:tc>
        <w:tc>
          <w:tcPr>
            <w:tcW w:w="4041" w:type="dxa"/>
            <w:gridSpan w:val="9"/>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巢湖市半汤路15号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2"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行业类别（分类管理名录）</w:t>
            </w:r>
          </w:p>
        </w:tc>
        <w:tc>
          <w:tcPr>
            <w:tcW w:w="4089"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P8336中等职业学校教育</w:t>
            </w:r>
          </w:p>
        </w:tc>
        <w:tc>
          <w:tcPr>
            <w:tcW w:w="1273"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建设性质</w:t>
            </w:r>
          </w:p>
        </w:tc>
        <w:tc>
          <w:tcPr>
            <w:tcW w:w="2282"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☑新建  □ 改扩建  □技术改造</w:t>
            </w:r>
          </w:p>
        </w:tc>
        <w:tc>
          <w:tcPr>
            <w:tcW w:w="2318"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项目厂区中心经度/纬度</w:t>
            </w:r>
          </w:p>
        </w:tc>
        <w:tc>
          <w:tcPr>
            <w:tcW w:w="2650"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东经117.883209°，北纬31.618662°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设计生产能力</w:t>
            </w:r>
          </w:p>
        </w:tc>
        <w:tc>
          <w:tcPr>
            <w:tcW w:w="4089"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96"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实际生产能力</w:t>
            </w:r>
          </w:p>
        </w:tc>
        <w:tc>
          <w:tcPr>
            <w:tcW w:w="3072"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环评单位</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环评文件审批机关</w:t>
            </w:r>
          </w:p>
        </w:tc>
        <w:tc>
          <w:tcPr>
            <w:tcW w:w="4089"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96"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审批文号</w:t>
            </w:r>
          </w:p>
        </w:tc>
        <w:tc>
          <w:tcPr>
            <w:tcW w:w="3072"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环评文件类型</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开工日期</w:t>
            </w:r>
          </w:p>
        </w:tc>
        <w:tc>
          <w:tcPr>
            <w:tcW w:w="4089"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2022年1月8日</w:t>
            </w:r>
          </w:p>
        </w:tc>
        <w:tc>
          <w:tcPr>
            <w:tcW w:w="1896"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竣工日期</w:t>
            </w:r>
          </w:p>
        </w:tc>
        <w:tc>
          <w:tcPr>
            <w:tcW w:w="3072"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2023年12月19日</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排污许可证申领时间</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环保设施设计单位</w:t>
            </w:r>
          </w:p>
        </w:tc>
        <w:tc>
          <w:tcPr>
            <w:tcW w:w="4089"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合肥工业大学设计院（集团）有限公司</w:t>
            </w:r>
          </w:p>
        </w:tc>
        <w:tc>
          <w:tcPr>
            <w:tcW w:w="1896"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环保设施施工单位</w:t>
            </w:r>
          </w:p>
        </w:tc>
        <w:tc>
          <w:tcPr>
            <w:tcW w:w="3072" w:type="dxa"/>
            <w:gridSpan w:val="6"/>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安徽同济建设集团有限责任公司</w:t>
            </w:r>
          </w:p>
        </w:tc>
        <w:tc>
          <w:tcPr>
            <w:tcW w:w="1682"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本工程排污许可证编号</w:t>
            </w:r>
          </w:p>
        </w:tc>
        <w:tc>
          <w:tcPr>
            <w:tcW w:w="1873"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验收单位</w:t>
            </w:r>
          </w:p>
        </w:tc>
        <w:tc>
          <w:tcPr>
            <w:tcW w:w="5111" w:type="dxa"/>
            <w:gridSpan w:val="7"/>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安徽海峰分析测试科技有限公司</w:t>
            </w:r>
          </w:p>
        </w:tc>
        <w:tc>
          <w:tcPr>
            <w:tcW w:w="20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环保设施监测单位</w:t>
            </w:r>
          </w:p>
        </w:tc>
        <w:tc>
          <w:tcPr>
            <w:tcW w:w="2571"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安徽海峰分析测试科技有限公司</w:t>
            </w:r>
          </w:p>
        </w:tc>
        <w:tc>
          <w:tcPr>
            <w:tcW w:w="1238"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验收监测时工况</w:t>
            </w:r>
          </w:p>
        </w:tc>
        <w:tc>
          <w:tcPr>
            <w:tcW w:w="1617"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eastAsia"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投资总概算（万元）</w:t>
            </w:r>
          </w:p>
        </w:tc>
        <w:tc>
          <w:tcPr>
            <w:tcW w:w="5111" w:type="dxa"/>
            <w:gridSpan w:val="7"/>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6410</w:t>
            </w:r>
          </w:p>
        </w:tc>
        <w:tc>
          <w:tcPr>
            <w:tcW w:w="20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环保投资总概算（万元）</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所占比例（%）</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实际总投资</w:t>
            </w:r>
          </w:p>
        </w:tc>
        <w:tc>
          <w:tcPr>
            <w:tcW w:w="5111" w:type="dxa"/>
            <w:gridSpan w:val="7"/>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4430</w:t>
            </w:r>
          </w:p>
        </w:tc>
        <w:tc>
          <w:tcPr>
            <w:tcW w:w="20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实际环保投资（万元）</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75</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所占比例（%）</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废水治理（万元）</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22</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废气治理（万元）</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30</w:t>
            </w:r>
          </w:p>
        </w:tc>
        <w:tc>
          <w:tcPr>
            <w:tcW w:w="1296"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噪声治理（万元）元）</w:t>
            </w:r>
          </w:p>
        </w:tc>
        <w:tc>
          <w:tcPr>
            <w:tcW w:w="888"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w:t>
            </w:r>
          </w:p>
        </w:tc>
        <w:tc>
          <w:tcPr>
            <w:tcW w:w="20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固体废物治理（万元）</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1</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绿化及生态（万元）</w:t>
            </w:r>
          </w:p>
        </w:tc>
        <w:tc>
          <w:tcPr>
            <w:tcW w:w="414"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20</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其他（万元）</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404" w:type="dxa"/>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724"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新增废水处理设施能力</w:t>
            </w:r>
          </w:p>
        </w:tc>
        <w:tc>
          <w:tcPr>
            <w:tcW w:w="5111" w:type="dxa"/>
            <w:gridSpan w:val="7"/>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2075"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新增废气处理设施能力</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年平均工作时</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3" w:hRule="exact"/>
          <w:jc w:val="center"/>
        </w:trPr>
        <w:tc>
          <w:tcPr>
            <w:tcW w:w="2128"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运营单位</w:t>
            </w:r>
          </w:p>
        </w:tc>
        <w:tc>
          <w:tcPr>
            <w:tcW w:w="4036"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3150" w:type="dxa"/>
            <w:gridSpan w:val="8"/>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运营单位社会统一信用代码（或组织机构代码）</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378"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验收时间</w:t>
            </w:r>
          </w:p>
        </w:tc>
        <w:tc>
          <w:tcPr>
            <w:tcW w:w="2177" w:type="dxa"/>
            <w:gridSpan w:val="5"/>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2024年3月5日-6日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2" w:hRule="exact"/>
          <w:jc w:val="center"/>
        </w:trPr>
        <w:tc>
          <w:tcPr>
            <w:tcW w:w="1110" w:type="dxa"/>
            <w:gridSpan w:val="2"/>
            <w:vMerge w:val="restar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污染物排放达标与总量控制（工业建设项目详填）</w:t>
            </w: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污染物</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原有排放量(1)</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本期工程实际排放浓度(2)</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本期工程允许排放浓度(3)</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本期工程产生量(4)</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本期工程自身削减量(5)</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本期工程实际排放量(6)</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本期工程核定排放总量(7)</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本期工程“以新带老”削减量(8)</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全厂实际排放总量(9)</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全厂核定排放总量(10)</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区域平衡替代削减量(11)</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废水</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化学需氧量</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氨氮</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石油类</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废气</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二氧化硫</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烟尘</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工业粉尘</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4"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氮氧化物</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1110" w:type="dxa"/>
            <w:gridSpan w:val="2"/>
            <w:vMerge w:val="continue"/>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p>
        </w:tc>
        <w:tc>
          <w:tcPr>
            <w:tcW w:w="1018"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工业固体废物</w:t>
            </w:r>
          </w:p>
        </w:tc>
        <w:tc>
          <w:tcPr>
            <w:tcW w:w="742"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224"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61"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109"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75"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55"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871" w:type="dxa"/>
            <w:gridSpan w:val="4"/>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905"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887" w:type="dxa"/>
            <w:gridSpan w:val="3"/>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1023" w:type="dxa"/>
            <w:gridSpan w:val="2"/>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c>
          <w:tcPr>
            <w:tcW w:w="740" w:type="dxa"/>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outlineLvl w:val="9"/>
              <w:rPr>
                <w:rFonts w:hint="default" w:ascii="Times New Roman" w:hAnsi="Times New Roman" w:eastAsia="宋体" w:cs="Times New Roman"/>
                <w:b w:val="0"/>
                <w:bCs/>
                <w:color w:val="auto"/>
                <w:sz w:val="15"/>
                <w:szCs w:val="15"/>
                <w:highlight w:val="none"/>
                <w:lang w:val="en-US" w:eastAsia="zh-CN"/>
              </w:rPr>
            </w:pPr>
            <w:r>
              <w:rPr>
                <w:rFonts w:hint="default" w:ascii="Times New Roman" w:hAnsi="Times New Roman" w:eastAsia="宋体" w:cs="Times New Roman"/>
                <w:b w:val="0"/>
                <w:bCs/>
                <w:color w:val="auto"/>
                <w:sz w:val="15"/>
                <w:szCs w:val="15"/>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lang w:val="en-US" w:eastAsia="zh-CN"/>
        </w:rPr>
      </w:pPr>
      <w:r>
        <w:rPr>
          <w:b/>
          <w:color w:val="auto"/>
          <w:sz w:val="15"/>
          <w:szCs w:val="15"/>
          <w:highlight w:val="none"/>
        </w:rPr>
        <w:t>注</w:t>
      </w:r>
      <w:r>
        <w:rPr>
          <w:color w:val="auto"/>
          <w:sz w:val="15"/>
          <w:szCs w:val="15"/>
          <w:highlight w:val="none"/>
        </w:rPr>
        <w:t>：1、</w:t>
      </w:r>
      <w:r>
        <w:rPr>
          <w:color w:val="auto"/>
          <w:spacing w:val="-4"/>
          <w:sz w:val="15"/>
          <w:szCs w:val="15"/>
          <w:highlight w:val="none"/>
        </w:rPr>
        <w:t>排放增减量：（+）表示增加，（-）表示减少。2、(12)=(6)-(8)-(11)，（9）= (4)-(5)-(8)- (11) +（1）。3、计量单位：废水排放量——万吨/年；废气排放量——万标立方米/年；工业固体废物排放</w:t>
      </w:r>
      <w:r>
        <w:rPr>
          <w:color w:val="auto"/>
          <w:sz w:val="15"/>
          <w:szCs w:val="15"/>
          <w:highlight w:val="none"/>
        </w:rPr>
        <w:t>量——万吨/年；水污染物排放浓度——毫克</w:t>
      </w:r>
      <w:r>
        <w:rPr>
          <w:rFonts w:hint="eastAsia"/>
          <w:color w:val="auto"/>
          <w:sz w:val="15"/>
          <w:szCs w:val="15"/>
          <w:highlight w:val="none"/>
          <w:lang w:val="en-US" w:eastAsia="zh-CN"/>
        </w:rPr>
        <w:t>/升；</w:t>
      </w:r>
    </w:p>
    <w:p/>
    <w:sectPr>
      <w:pgSz w:w="16838" w:h="11906" w:orient="landscape"/>
      <w:pgMar w:top="1701"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18030">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CG Times">
    <w:altName w:val="Times New Roman"/>
    <w:panose1 w:val="02020603050405020304"/>
    <w:charset w:val="00"/>
    <w:family w:val="auto"/>
    <w:pitch w:val="default"/>
    <w:sig w:usb0="00000000"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ind w:firstLine="360" w:firstLineChars="20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hd w:val="clear"/>
      <w:snapToGrid w:val="0"/>
      <w:spacing w:line="240" w:lineRule="auto"/>
      <w:ind w:firstLine="360" w:firstLineChars="200"/>
      <w:jc w:val="center"/>
      <w:rPr>
        <w:rFonts w:hint="default" w:eastAsia="宋体"/>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ind w:firstLine="360" w:firstLineChars="200"/>
      <w:jc w:val="center"/>
      <w:rPr>
        <w:rFonts w:hint="default" w:eastAsia="宋体"/>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ind w:firstLine="360" w:firstLineChars="200"/>
      <w:jc w:val="center"/>
      <w:rPr>
        <w:rFonts w:hint="default" w:eastAsia="宋体"/>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ind w:firstLine="360" w:firstLineChars="200"/>
      <w:jc w:val="center"/>
      <w:rPr>
        <w:rFonts w:hint="default"/>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jc w:val="cente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F74F2F"/>
    <w:multiLevelType w:val="multilevel"/>
    <w:tmpl w:val="7DF74F2F"/>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yOTBjYTNhZGM4OGMwMTA5ZjBmZGZmOWYxODA1MDQifQ=="/>
  </w:docVars>
  <w:rsids>
    <w:rsidRoot w:val="2A6201E9"/>
    <w:rsid w:val="022C3C1E"/>
    <w:rsid w:val="09FB36EC"/>
    <w:rsid w:val="0AF51DA0"/>
    <w:rsid w:val="0F246D42"/>
    <w:rsid w:val="2222310C"/>
    <w:rsid w:val="2A6201E9"/>
    <w:rsid w:val="331D4686"/>
    <w:rsid w:val="436C6DFD"/>
    <w:rsid w:val="4B504BA8"/>
    <w:rsid w:val="4C955212"/>
    <w:rsid w:val="4D8F54F4"/>
    <w:rsid w:val="53874413"/>
    <w:rsid w:val="5BD7618C"/>
    <w:rsid w:val="61182CAE"/>
    <w:rsid w:val="61FB46D1"/>
    <w:rsid w:val="64C06B57"/>
    <w:rsid w:val="77EE2705"/>
    <w:rsid w:val="79366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964"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autoRedefine/>
    <w:qFormat/>
    <w:uiPriority w:val="0"/>
    <w:pPr>
      <w:keepNext/>
      <w:keepLines/>
      <w:spacing w:beforeLines="0" w:beforeAutospacing="0" w:afterLines="0" w:afterAutospacing="0" w:line="240" w:lineRule="auto"/>
      <w:jc w:val="center"/>
      <w:outlineLvl w:val="0"/>
    </w:pPr>
    <w:rPr>
      <w:kern w:val="44"/>
      <w:sz w:val="21"/>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3">
    <w:name w:val="Salutation"/>
    <w:basedOn w:val="1"/>
    <w:next w:val="1"/>
    <w:autoRedefine/>
    <w:qFormat/>
    <w:uiPriority w:val="0"/>
    <w:rPr>
      <w:rFonts w:ascii="Times New Roman" w:hAnsi="Times New Roman"/>
    </w:rPr>
  </w:style>
  <w:style w:type="paragraph" w:styleId="4">
    <w:name w:val="Body Text"/>
    <w:basedOn w:val="1"/>
    <w:next w:val="3"/>
    <w:autoRedefine/>
    <w:qFormat/>
    <w:uiPriority w:val="0"/>
    <w:rPr>
      <w:rFonts w:ascii="Times New Roman" w:hAnsi="Times New Roman"/>
    </w:rPr>
  </w:style>
  <w:style w:type="paragraph" w:styleId="5">
    <w:name w:val="Body Text Indent"/>
    <w:basedOn w:val="1"/>
    <w:next w:val="6"/>
    <w:autoRedefine/>
    <w:qFormat/>
    <w:uiPriority w:val="0"/>
    <w:pPr>
      <w:spacing w:after="120"/>
      <w:ind w:left="420" w:leftChars="200"/>
    </w:pPr>
  </w:style>
  <w:style w:type="paragraph" w:styleId="6">
    <w:name w:val="envelope return"/>
    <w:basedOn w:val="1"/>
    <w:autoRedefine/>
    <w:qFormat/>
    <w:uiPriority w:val="0"/>
    <w:pPr>
      <w:snapToGrid w:val="0"/>
    </w:pPr>
    <w:rPr>
      <w:rFonts w:ascii="Arial" w:hAnsi="Arial" w:cs="Arial"/>
    </w:rPr>
  </w:style>
  <w:style w:type="paragraph" w:styleId="7">
    <w:name w:val="footer"/>
    <w:basedOn w:val="1"/>
    <w:autoRedefine/>
    <w:unhideWhenUsed/>
    <w:qFormat/>
    <w:uiPriority w:val="99"/>
    <w:pPr>
      <w:tabs>
        <w:tab w:val="center" w:pos="4153"/>
        <w:tab w:val="right" w:pos="8306"/>
      </w:tabs>
      <w:snapToGrid w:val="0"/>
      <w:spacing w:line="240" w:lineRule="auto"/>
      <w:jc w:val="left"/>
    </w:pPr>
    <w:rPr>
      <w:sz w:val="18"/>
      <w:szCs w:val="18"/>
    </w:rPr>
  </w:style>
  <w:style w:type="paragraph" w:styleId="8">
    <w:name w:val="header"/>
    <w:basedOn w:val="1"/>
    <w:autoRedefine/>
    <w:unhideWhenUsed/>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9">
    <w:name w:val="Body Text 2"/>
    <w:basedOn w:val="1"/>
    <w:autoRedefine/>
    <w:qFormat/>
    <w:uiPriority w:val="0"/>
    <w:rPr>
      <w:sz w:val="24"/>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5"/>
    <w:next w:val="1"/>
    <w:autoRedefine/>
    <w:qFormat/>
    <w:uiPriority w:val="0"/>
    <w:pPr>
      <w:ind w:left="0" w:leftChars="0" w:firstLine="964" w:firstLineChars="20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xl27"/>
    <w:basedOn w:val="1"/>
    <w:autoRedefine/>
    <w:qFormat/>
    <w:uiPriority w:val="99"/>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18030" w:hAnsi="???-18030" w:cs="???-18030"/>
      <w:kern w:val="0"/>
    </w:rPr>
  </w:style>
  <w:style w:type="paragraph" w:customStyle="1" w:styleId="16">
    <w:name w:val="封面2"/>
    <w:basedOn w:val="17"/>
    <w:autoRedefine/>
    <w:qFormat/>
    <w:uiPriority w:val="0"/>
    <w:rPr>
      <w:rFonts w:hAnsi="Times New Roman" w:eastAsia="黑体"/>
      <w:b w:val="0"/>
      <w:sz w:val="56"/>
      <w:szCs w:val="56"/>
    </w:rPr>
  </w:style>
  <w:style w:type="paragraph" w:customStyle="1" w:styleId="17">
    <w:name w:val="封面1"/>
    <w:autoRedefine/>
    <w:qFormat/>
    <w:uiPriority w:val="0"/>
    <w:pPr>
      <w:jc w:val="center"/>
    </w:pPr>
    <w:rPr>
      <w:rFonts w:hint="default" w:ascii="Times New Roman" w:hAnsi="Times New Roman" w:eastAsia="宋体" w:cs="宋体"/>
      <w:b/>
      <w:bCs/>
      <w:sz w:val="72"/>
      <w:szCs w:val="72"/>
    </w:rPr>
  </w:style>
  <w:style w:type="paragraph" w:customStyle="1" w:styleId="18">
    <w:name w:val="表内1"/>
    <w:autoRedefine/>
    <w:qFormat/>
    <w:uiPriority w:val="0"/>
    <w:pPr>
      <w:jc w:val="center"/>
    </w:pPr>
    <w:rPr>
      <w:rFonts w:ascii="Times New Roman" w:hAnsi="Times New Roman" w:eastAsia="宋体" w:cs="Times New Roman"/>
      <w:sz w:val="24"/>
    </w:rPr>
  </w:style>
  <w:style w:type="paragraph" w:customStyle="1" w:styleId="19">
    <w:name w:val="Table Paragraph"/>
    <w:basedOn w:val="1"/>
    <w:autoRedefine/>
    <w:qFormat/>
    <w:uiPriority w:val="1"/>
    <w:rPr>
      <w:rFonts w:ascii="宋体" w:hAnsi="宋体" w:eastAsia="宋体" w:cs="宋体"/>
      <w:lang w:val="zh-CN" w:eastAsia="zh-CN" w:bidi="zh-CN"/>
    </w:rPr>
  </w:style>
  <w:style w:type="paragraph" w:customStyle="1" w:styleId="20">
    <w:name w:val="内表头1"/>
    <w:autoRedefine/>
    <w:qFormat/>
    <w:uiPriority w:val="0"/>
    <w:pPr>
      <w:ind w:firstLine="0"/>
      <w:jc w:val="center"/>
    </w:pPr>
    <w:rPr>
      <w:rFonts w:hint="default" w:ascii="Times New Roman" w:hAnsi="Times New Roman" w:eastAsia="宋体" w:cs="Times New Roman"/>
      <w:b/>
      <w:bCs/>
      <w:sz w:val="21"/>
      <w:szCs w:val="21"/>
    </w:rPr>
  </w:style>
  <w:style w:type="paragraph" w:customStyle="1" w:styleId="21">
    <w:name w:val="表内2"/>
    <w:basedOn w:val="18"/>
    <w:autoRedefine/>
    <w:qFormat/>
    <w:uiPriority w:val="0"/>
    <w:rPr>
      <w:rFonts w:hint="eastAsia"/>
      <w:sz w:val="21"/>
      <w:szCs w:val="21"/>
    </w:rPr>
  </w:style>
  <w:style w:type="paragraph" w:styleId="22">
    <w:name w:val="List Paragraph"/>
    <w:basedOn w:val="1"/>
    <w:autoRedefine/>
    <w:qFormat/>
    <w:uiPriority w:val="0"/>
    <w:pPr>
      <w:ind w:firstLine="420" w:firstLineChars="200"/>
    </w:pPr>
    <w:rPr>
      <w:rFonts w:eastAsia="宋体"/>
      <w:sz w:val="21"/>
    </w:rPr>
  </w:style>
  <w:style w:type="paragraph" w:customStyle="1" w:styleId="23">
    <w:name w:val="标号正文"/>
    <w:basedOn w:val="1"/>
    <w:next w:val="1"/>
    <w:autoRedefine/>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4">
    <w:name w:val="表内格式"/>
    <w:basedOn w:val="1"/>
    <w:autoRedefine/>
    <w:qFormat/>
    <w:uiPriority w:val="0"/>
    <w:pPr>
      <w:jc w:val="center"/>
    </w:pPr>
    <w:rPr>
      <w:rFonts w:cs="宋体"/>
    </w:rPr>
  </w:style>
  <w:style w:type="table" w:customStyle="1" w:styleId="25">
    <w:name w:val="Table Normal"/>
    <w:autoRedefine/>
    <w:semiHidden/>
    <w:unhideWhenUsed/>
    <w:qFormat/>
    <w:uiPriority w:val="0"/>
    <w:tblPr>
      <w:tblCellMar>
        <w:top w:w="0" w:type="dxa"/>
        <w:left w:w="0" w:type="dxa"/>
        <w:bottom w:w="0" w:type="dxa"/>
        <w:right w:w="0" w:type="dxa"/>
      </w:tblCellMar>
    </w:tblPr>
  </w:style>
  <w:style w:type="paragraph" w:customStyle="1" w:styleId="26">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1.xml"/><Relationship Id="rId49" Type="http://schemas.openxmlformats.org/officeDocument/2006/relationships/image" Target="media/image36.jpe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endnotes" Target="endnotes.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2.xml"/><Relationship Id="rId11" Type="http://schemas.openxmlformats.org/officeDocument/2006/relationships/header" Target="header6.xml"/><Relationship Id="rId10" Type="http://schemas.openxmlformats.org/officeDocument/2006/relationships/footer" Target="footer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8753</Words>
  <Characters>10490</Characters>
  <Lines>0</Lines>
  <Paragraphs>0</Paragraphs>
  <TotalTime>8</TotalTime>
  <ScaleCrop>false</ScaleCrop>
  <LinksUpToDate>false</LinksUpToDate>
  <CharactersWithSpaces>10609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2024-03-01T07:15:00Z</dcterms:created>
  <dc:creator>yuli</dc:creator>
  <cp:lastModifiedBy>yuli</cp:lastModifiedBy>
  <dcterms:modified xsi:type="dcterms:W3CDTF">2024-05-20T02:25:43Z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1B51D539CC39494FBBB43B553DD91DC4_11</vt:lpwstr>
  </property>
</Properties>
</file>